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5E4A6D">
              <w:rPr>
                <w:sz w:val="16"/>
                <w:szCs w:val="16"/>
              </w:rPr>
              <w:t>FY</w:t>
            </w:r>
            <w:r w:rsidR="00802D41">
              <w:rPr>
                <w:sz w:val="16"/>
                <w:szCs w:val="16"/>
              </w:rPr>
              <w:t>03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E867A6">
              <w:rPr>
                <w:rFonts w:ascii="Corbel" w:hAnsi="Corbel"/>
                <w:sz w:val="20"/>
                <w:szCs w:val="20"/>
              </w:rPr>
              <w:t>Inomhusklimat och byggnadsfysikaliska mätningar</w:t>
            </w:r>
            <w:bookmarkStart w:id="0" w:name="_GoBack"/>
            <w:bookmarkEnd w:id="0"/>
            <w:r w:rsidR="00802D41" w:rsidRPr="007A47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E738EB" w:rsidP="00802D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till olika sätt att utföra mätningar av inomhusklimat och fukt.</w:t>
            </w:r>
            <w:r w:rsidR="005C3486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Vet hur undersökning av betongskador görs.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E738EB" w:rsidP="00E73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Kan utföra och dokumentera fuktmätningar och känner till luftmät</w:t>
            </w:r>
            <w:r w:rsidR="004224DE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nings</w:t>
            </w: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metoder.</w:t>
            </w:r>
            <w:r w:rsidR="005C34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 Kan undersöka betongskador och vet var prov borde tas. Är förtrogen med </w:t>
            </w:r>
            <w:proofErr w:type="spellStart"/>
            <w:r w:rsidR="005C34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karbonatiseringstest</w:t>
            </w:r>
            <w:proofErr w:type="spellEnd"/>
            <w:r w:rsidR="005C3486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AC1B9A" w:rsidRDefault="00E738EB" w:rsidP="00AC1B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9A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 xml:space="preserve">Behärskar fuktmätning och kan dokumentera luftkvalitets- och fuktmätningar, samt förstår olika metoders </w:t>
            </w:r>
            <w:r w:rsidR="00AC1B9A" w:rsidRPr="00AC1B9A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 xml:space="preserve">styrkor och svagheter, samt </w:t>
            </w:r>
            <w:r w:rsidRPr="00AC1B9A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 xml:space="preserve">känner till vilka faktorer som kan inverka negativt på inomhusklimatet </w:t>
            </w:r>
            <w:r w:rsidR="00AC1B9A" w:rsidRPr="00AC1B9A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>och</w:t>
            </w:r>
            <w:r w:rsidRPr="00AC1B9A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 xml:space="preserve"> hur dessa storheter mäts.</w:t>
            </w:r>
            <w:r w:rsidR="005C3486">
              <w:rPr>
                <w:rStyle w:val="details"/>
                <w:rFonts w:ascii="Arial" w:hAnsi="Arial" w:cs="Arial"/>
                <w:color w:val="333333"/>
                <w:sz w:val="16"/>
                <w:szCs w:val="16"/>
              </w:rPr>
              <w:t xml:space="preserve"> Kan göra komplett betongundersökning för skadade konstruktioner och kan tolka provresultaten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182B82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E738EB" w:rsidP="00E73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 xml:space="preserve">Kan söka fram 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den lagstiftningen, förordningar och bestämmelser som berör granskning och bedömning av inomhusklimatet</w:t>
            </w:r>
            <w:r>
              <w:rPr>
                <w:rFonts w:ascii="Arial" w:hAnsi="Arial" w:cs="Arial"/>
                <w:sz w:val="16"/>
                <w:szCs w:val="16"/>
              </w:rPr>
              <w:t xml:space="preserve">, samt känner de </w:t>
            </w:r>
            <w:r w:rsidR="004224DE">
              <w:rPr>
                <w:rFonts w:ascii="Arial" w:hAnsi="Arial" w:cs="Arial"/>
                <w:sz w:val="16"/>
                <w:szCs w:val="16"/>
              </w:rPr>
              <w:t xml:space="preserve">mest </w:t>
            </w:r>
            <w:r>
              <w:rPr>
                <w:rFonts w:ascii="Arial" w:hAnsi="Arial" w:cs="Arial"/>
                <w:sz w:val="16"/>
                <w:szCs w:val="16"/>
              </w:rPr>
              <w:t>centrala faktorer som påverkar det negativt.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D76838" w:rsidP="00E73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Fonts w:ascii="Arial" w:hAnsi="Arial" w:cs="Arial"/>
                <w:sz w:val="16"/>
                <w:szCs w:val="16"/>
              </w:rPr>
              <w:t>K</w:t>
            </w:r>
            <w:r w:rsidR="00E738EB">
              <w:rPr>
                <w:rFonts w:ascii="Arial" w:hAnsi="Arial" w:cs="Arial"/>
                <w:sz w:val="16"/>
                <w:szCs w:val="16"/>
              </w:rPr>
              <w:t>änner</w:t>
            </w:r>
            <w:r w:rsidR="00E738E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till lagstiftningen, förordningar och bestämmelser som berör granskning och bedömning av inomhusklimatet</w:t>
            </w:r>
            <w:r w:rsidR="00E738EB">
              <w:rPr>
                <w:rFonts w:ascii="Arial" w:hAnsi="Arial" w:cs="Arial"/>
                <w:sz w:val="16"/>
                <w:szCs w:val="16"/>
              </w:rPr>
              <w:t>, samt känner de centrala faktorer som påverkar det negativt.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0C6D99" w:rsidRDefault="00E738EB" w:rsidP="00E738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D9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änner</w:t>
            </w: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till lagstiftning, förordningar och bestämmelser som berör granskning och bedömning av inomhusklimatet</w:t>
            </w:r>
            <w:r>
              <w:rPr>
                <w:rFonts w:ascii="Arial" w:hAnsi="Arial" w:cs="Arial"/>
                <w:sz w:val="16"/>
                <w:szCs w:val="16"/>
              </w:rPr>
              <w:t>, samt har goda insikter i faktorer som påverkar det negativt</w:t>
            </w: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AC1B9A" w:rsidRDefault="00BA1E5D" w:rsidP="007A47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1E5D" w:rsidRPr="00AC1B9A" w:rsidRDefault="004224DE" w:rsidP="00820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Kan utföra fuktmätningar och göra bedömningar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av resultat rörande inomhusluft och mätresultat för vidare utredningar. </w:t>
            </w:r>
          </w:p>
        </w:tc>
        <w:tc>
          <w:tcPr>
            <w:tcW w:w="2268" w:type="dxa"/>
            <w:shd w:val="clear" w:color="auto" w:fill="auto"/>
          </w:tcPr>
          <w:p w:rsidR="00BA1E5D" w:rsidRPr="00AC1B9A" w:rsidRDefault="00BA1E5D" w:rsidP="007A47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1E5D" w:rsidRPr="00AC1B9A" w:rsidRDefault="004224DE" w:rsidP="00820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Kan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samarbete och </w:t>
            </w: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metodiskt utföra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olika mätningar som påverkar inomhusluft, och </w:t>
            </w:r>
            <w:r w:rsidR="008207FF">
              <w:rPr>
                <w:rStyle w:val="details"/>
                <w:rFonts w:ascii="Arial" w:hAnsi="Arial" w:cs="Arial"/>
                <w:color w:val="333333"/>
                <w:sz w:val="16"/>
                <w:szCs w:val="18"/>
              </w:rPr>
              <w:t>förstår undersökningshelheten och kan prioritera och tolka resultat</w:t>
            </w:r>
          </w:p>
        </w:tc>
        <w:tc>
          <w:tcPr>
            <w:tcW w:w="2127" w:type="dxa"/>
            <w:shd w:val="clear" w:color="auto" w:fill="auto"/>
          </w:tcPr>
          <w:p w:rsidR="00BA1E5D" w:rsidRPr="00AC1B9A" w:rsidRDefault="00BA1E5D" w:rsidP="007A47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1E5D" w:rsidRPr="00AC1B9A" w:rsidRDefault="004224DE" w:rsidP="008207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Kan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samarbeta och </w:t>
            </w: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>meto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diskt utföra tillförlitliga </w:t>
            </w: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mätningar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som påverkar inomhusluft </w:t>
            </w: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och bedöma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helhet och </w:t>
            </w:r>
            <w:r w:rsidRPr="00AC1B9A">
              <w:rPr>
                <w:rFonts w:ascii="Arial" w:hAnsi="Arial" w:cs="Arial"/>
                <w:color w:val="333333"/>
                <w:sz w:val="16"/>
                <w:szCs w:val="18"/>
              </w:rPr>
              <w:t xml:space="preserve">resultat </w:t>
            </w:r>
            <w:r w:rsidR="008207FF">
              <w:rPr>
                <w:rFonts w:ascii="Arial" w:hAnsi="Arial" w:cs="Arial"/>
                <w:color w:val="333333"/>
                <w:sz w:val="16"/>
                <w:szCs w:val="18"/>
              </w:rPr>
              <w:t xml:space="preserve">och göra prioriteringar. </w:t>
            </w: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82" w:rsidRDefault="00182B82" w:rsidP="008A7EBD">
      <w:pPr>
        <w:spacing w:after="0" w:line="240" w:lineRule="auto"/>
      </w:pPr>
      <w:r>
        <w:separator/>
      </w:r>
    </w:p>
  </w:endnote>
  <w:endnote w:type="continuationSeparator" w:id="0">
    <w:p w:rsidR="00182B82" w:rsidRDefault="00182B8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82" w:rsidRDefault="00182B82" w:rsidP="008A7EBD">
      <w:pPr>
        <w:spacing w:after="0" w:line="240" w:lineRule="auto"/>
      </w:pPr>
      <w:r>
        <w:separator/>
      </w:r>
    </w:p>
  </w:footnote>
  <w:footnote w:type="continuationSeparator" w:id="0">
    <w:p w:rsidR="00182B82" w:rsidRDefault="00182B8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0208"/>
    <w:rsid w:val="00013B4F"/>
    <w:rsid w:val="00017A5A"/>
    <w:rsid w:val="00021A87"/>
    <w:rsid w:val="00030FF6"/>
    <w:rsid w:val="000311E0"/>
    <w:rsid w:val="00036C93"/>
    <w:rsid w:val="000533FE"/>
    <w:rsid w:val="00092E54"/>
    <w:rsid w:val="000A14BD"/>
    <w:rsid w:val="000B304E"/>
    <w:rsid w:val="000C6D99"/>
    <w:rsid w:val="000F6646"/>
    <w:rsid w:val="00111C03"/>
    <w:rsid w:val="001133B5"/>
    <w:rsid w:val="00140798"/>
    <w:rsid w:val="00156596"/>
    <w:rsid w:val="00167657"/>
    <w:rsid w:val="00182B82"/>
    <w:rsid w:val="00187162"/>
    <w:rsid w:val="0019432B"/>
    <w:rsid w:val="001A089C"/>
    <w:rsid w:val="001A73BA"/>
    <w:rsid w:val="001C5749"/>
    <w:rsid w:val="001D28E8"/>
    <w:rsid w:val="001D4D02"/>
    <w:rsid w:val="001D58A1"/>
    <w:rsid w:val="00255E96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10A83"/>
    <w:rsid w:val="004224DE"/>
    <w:rsid w:val="0044747A"/>
    <w:rsid w:val="00456595"/>
    <w:rsid w:val="00456EA0"/>
    <w:rsid w:val="004658BF"/>
    <w:rsid w:val="00471AFD"/>
    <w:rsid w:val="00497098"/>
    <w:rsid w:val="004A6725"/>
    <w:rsid w:val="004A7534"/>
    <w:rsid w:val="004B0420"/>
    <w:rsid w:val="004C036A"/>
    <w:rsid w:val="004C759D"/>
    <w:rsid w:val="004D01C5"/>
    <w:rsid w:val="004D064B"/>
    <w:rsid w:val="005057B5"/>
    <w:rsid w:val="0050612F"/>
    <w:rsid w:val="0051484C"/>
    <w:rsid w:val="00525C42"/>
    <w:rsid w:val="00567304"/>
    <w:rsid w:val="00582696"/>
    <w:rsid w:val="00585D6B"/>
    <w:rsid w:val="0059493F"/>
    <w:rsid w:val="00595797"/>
    <w:rsid w:val="005A7626"/>
    <w:rsid w:val="005B11AD"/>
    <w:rsid w:val="005C3486"/>
    <w:rsid w:val="005C42FC"/>
    <w:rsid w:val="005E4A6D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32608"/>
    <w:rsid w:val="00747B68"/>
    <w:rsid w:val="00764202"/>
    <w:rsid w:val="0077062A"/>
    <w:rsid w:val="00773114"/>
    <w:rsid w:val="007A4766"/>
    <w:rsid w:val="007C4791"/>
    <w:rsid w:val="007C50AF"/>
    <w:rsid w:val="00802D41"/>
    <w:rsid w:val="00813C1D"/>
    <w:rsid w:val="008207FF"/>
    <w:rsid w:val="00836336"/>
    <w:rsid w:val="00877C7B"/>
    <w:rsid w:val="008A1833"/>
    <w:rsid w:val="008A7EBD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C1B9A"/>
    <w:rsid w:val="00AD5D90"/>
    <w:rsid w:val="00B31953"/>
    <w:rsid w:val="00B57DB6"/>
    <w:rsid w:val="00BA1E5D"/>
    <w:rsid w:val="00BA343A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A1515"/>
    <w:rsid w:val="00CC2B18"/>
    <w:rsid w:val="00CC3597"/>
    <w:rsid w:val="00D00280"/>
    <w:rsid w:val="00D01E81"/>
    <w:rsid w:val="00D031FA"/>
    <w:rsid w:val="00D30CBA"/>
    <w:rsid w:val="00D3200F"/>
    <w:rsid w:val="00D3365B"/>
    <w:rsid w:val="00D46B09"/>
    <w:rsid w:val="00D76838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493E"/>
    <w:rsid w:val="00E46835"/>
    <w:rsid w:val="00E50DA9"/>
    <w:rsid w:val="00E70D12"/>
    <w:rsid w:val="00E738EB"/>
    <w:rsid w:val="00E74AB6"/>
    <w:rsid w:val="00E755AA"/>
    <w:rsid w:val="00E867A6"/>
    <w:rsid w:val="00E90D4F"/>
    <w:rsid w:val="00E97006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98D62"/>
  <w15:docId w15:val="{58E501A9-5BB4-4030-BDD9-A7BA4454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rsid w:val="005E4A6D"/>
  </w:style>
  <w:style w:type="character" w:customStyle="1" w:styleId="re-collapse">
    <w:name w:val="re-collapse"/>
    <w:rsid w:val="005E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2852-613E-497C-B321-15E4388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1987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4</cp:revision>
  <cp:lastPrinted>2014-04-03T04:34:00Z</cp:lastPrinted>
  <dcterms:created xsi:type="dcterms:W3CDTF">2018-03-09T10:10:00Z</dcterms:created>
  <dcterms:modified xsi:type="dcterms:W3CDTF">2018-03-16T12:23:00Z</dcterms:modified>
</cp:coreProperties>
</file>