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B5" w:rsidRDefault="00620DB5">
      <w:pPr>
        <w:rPr>
          <w:sz w:val="28"/>
          <w:szCs w:val="28"/>
          <w:u w:val="single"/>
        </w:rPr>
      </w:pPr>
    </w:p>
    <w:p w:rsidR="00A21473" w:rsidRPr="00764202" w:rsidRDefault="00A21473" w:rsidP="002C18BA">
      <w:pPr>
        <w:rPr>
          <w:rFonts w:ascii="Corbel" w:hAnsi="Corbel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BA1E5D" w:rsidRPr="007A4766" w:rsidTr="007A4766">
        <w:trPr>
          <w:trHeight w:val="2260"/>
        </w:trPr>
        <w:tc>
          <w:tcPr>
            <w:tcW w:w="5070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sz w:val="20"/>
                <w:szCs w:val="20"/>
              </w:rPr>
            </w:pPr>
            <w:r w:rsidRPr="007A476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7A4766">
              <w:rPr>
                <w:sz w:val="20"/>
                <w:szCs w:val="20"/>
              </w:rPr>
              <w:t xml:space="preserve"> </w:t>
            </w:r>
          </w:p>
          <w:p w:rsidR="00BA1E5D" w:rsidRPr="007A4766" w:rsidRDefault="00BA1E5D" w:rsidP="007A4766">
            <w:pPr>
              <w:spacing w:after="0" w:line="240" w:lineRule="auto"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7A4766">
              <w:rPr>
                <w:sz w:val="16"/>
                <w:szCs w:val="16"/>
              </w:rPr>
              <w:t>Kurskod</w:t>
            </w:r>
            <w:proofErr w:type="spellEnd"/>
            <w:r w:rsidRPr="007A4766">
              <w:rPr>
                <w:sz w:val="16"/>
                <w:szCs w:val="16"/>
              </w:rPr>
              <w:t xml:space="preserve">:      </w:t>
            </w:r>
            <w:r w:rsidR="00D00280" w:rsidRPr="007A4766">
              <w:rPr>
                <w:sz w:val="16"/>
                <w:szCs w:val="16"/>
              </w:rPr>
              <w:t>BYV18</w:t>
            </w:r>
            <w:r w:rsidR="005E4A6D">
              <w:rPr>
                <w:sz w:val="16"/>
                <w:szCs w:val="16"/>
              </w:rPr>
              <w:t>FY01</w:t>
            </w: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Kursnamn:   </w:t>
            </w:r>
            <w:r w:rsidR="005E4A6D">
              <w:rPr>
                <w:rFonts w:ascii="Corbel" w:hAnsi="Corbel"/>
                <w:sz w:val="20"/>
                <w:szCs w:val="20"/>
              </w:rPr>
              <w:t>Byggfysik 2</w:t>
            </w:r>
          </w:p>
          <w:p w:rsidR="00BA1E5D" w:rsidRPr="007A4766" w:rsidRDefault="00BA1E5D" w:rsidP="007A476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A1E5D" w:rsidRPr="00BA1E5D" w:rsidRDefault="00BA1E5D" w:rsidP="00BA1E5D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:rsidR="00BA1E5D" w:rsidRPr="00BA1E5D" w:rsidRDefault="00BA1E5D" w:rsidP="00BA1E5D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BA1E5D" w:rsidRPr="007A4766" w:rsidTr="007A4766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5</w:t>
            </w:r>
          </w:p>
        </w:tc>
      </w:tr>
      <w:tr w:rsidR="00BA1E5D" w:rsidRPr="007A4766" w:rsidTr="007A4766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D00280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color w:val="0000FF"/>
                <w:sz w:val="16"/>
                <w:szCs w:val="16"/>
                <w:u w:val="single"/>
              </w:rPr>
              <w:t>Praxis</w:t>
            </w:r>
          </w:p>
          <w:p w:rsidR="00BA1E5D" w:rsidRPr="007A4766" w:rsidRDefault="00BA1E5D" w:rsidP="007A4766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0C6D99" w:rsidRDefault="00D76838" w:rsidP="00D76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D99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Kan bestämma brandklass, samt ta reda på de mesta central kraven på </w:t>
            </w:r>
            <w:proofErr w:type="spellStart"/>
            <w:r w:rsidRPr="000C6D99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ytmaterial</w:t>
            </w:r>
            <w:proofErr w:type="spellEnd"/>
            <w:r w:rsidRPr="000C6D99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, areal, maximalt personantal, bärande konstruktioner, </w:t>
            </w:r>
            <w:proofErr w:type="spellStart"/>
            <w:r w:rsidRPr="000C6D99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sektionering</w:t>
            </w:r>
            <w:proofErr w:type="spellEnd"/>
            <w:r w:rsidRPr="000C6D99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 och utrymning.</w:t>
            </w:r>
            <w:r w:rsidR="00BA1E5D" w:rsidRPr="000C6D9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CC2B18" w:rsidRPr="00CC2B18">
              <w:rPr>
                <w:rFonts w:ascii="Arial" w:hAnsi="Arial" w:cs="Arial"/>
                <w:sz w:val="16"/>
                <w:szCs w:val="16"/>
              </w:rPr>
              <w:t>Vet vad byggnadsakustikmätningar består av</w:t>
            </w:r>
            <w:r w:rsidR="00CC2B18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0C6D99" w:rsidRDefault="00D76838" w:rsidP="00CC2B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D99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Kan bestämma brandklass, samt ta reda på vilka krav som ställs på </w:t>
            </w:r>
            <w:proofErr w:type="spellStart"/>
            <w:r w:rsidRPr="000C6D99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ytmaterial</w:t>
            </w:r>
            <w:proofErr w:type="spellEnd"/>
            <w:r w:rsidRPr="000C6D99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, areal, maximalt personantal, bärande konstruktioner, </w:t>
            </w:r>
            <w:proofErr w:type="spellStart"/>
            <w:r w:rsidRPr="000C6D99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sektionering</w:t>
            </w:r>
            <w:proofErr w:type="spellEnd"/>
            <w:r w:rsidRPr="000C6D99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 och utrymning. Kan välja lösning för att säkra akustiskt tillfredsställande lösningar</w:t>
            </w:r>
            <w:r w:rsidR="000C6D99" w:rsidRPr="000C6D99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 och motivera valet</w:t>
            </w:r>
            <w:r w:rsidR="00CC2B18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, samt vet vad akustikmätningar kan ge</w:t>
            </w:r>
            <w:r w:rsidR="000C6D99" w:rsidRPr="000C6D99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CC2B18" w:rsidRDefault="005E4A6D" w:rsidP="00CC2B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B18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Behärskar </w:t>
            </w:r>
            <w:r w:rsidR="00CC2B18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brandprojektering</w:t>
            </w:r>
            <w:r w:rsidR="00CC2B18" w:rsidRPr="00CC2B18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. Kan omsätta resultat av akustikmätningar </w:t>
            </w:r>
            <w:r w:rsidR="00CC2B18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och</w:t>
            </w:r>
            <w:r w:rsidR="00CC2B18" w:rsidRPr="00CC2B18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 konstruera olika byggnadstekniska lösningar för att säkra god akustik</w:t>
            </w:r>
            <w:r w:rsidR="00CC2B18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.</w:t>
            </w:r>
          </w:p>
        </w:tc>
      </w:tr>
      <w:tr w:rsidR="00BA1E5D" w:rsidRPr="007A4766" w:rsidTr="007A4766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D57677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hyperlink r:id="rId8" w:tooltip="Med konstruktionsteknisk kompetens förstås sambandet mellan hur konstruktionen verkligen belastas samt utgående från detta förstå och matematiskt kunna analysera de spänningsefnomen som uppstår." w:history="1">
              <w:r w:rsidR="00D00280" w:rsidRPr="007A4766">
                <w:rPr>
                  <w:color w:val="0000FF"/>
                  <w:sz w:val="16"/>
                  <w:szCs w:val="16"/>
                  <w:u w:val="single"/>
                </w:rPr>
                <w:t>Teori</w:t>
              </w:r>
            </w:hyperlink>
          </w:p>
          <w:p w:rsidR="00BA1E5D" w:rsidRPr="007A4766" w:rsidRDefault="00BA1E5D" w:rsidP="007A4766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0C6D99" w:rsidRDefault="00D76838" w:rsidP="007A47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D99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Är bekant med de olika brandklasserna för byggnader och känner till vilka faktorer som primärt inverkar på val av brandklass</w:t>
            </w:r>
            <w:r w:rsidR="000C6D99" w:rsidRPr="000C6D99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 samt de grundläggande principerna för byggnadsakustik och trafikplanering</w:t>
            </w:r>
            <w:r w:rsidRPr="000C6D99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0C6D99" w:rsidRDefault="00D76838" w:rsidP="00D76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D99">
              <w:rPr>
                <w:rFonts w:ascii="Arial" w:hAnsi="Arial" w:cs="Arial"/>
                <w:sz w:val="16"/>
                <w:szCs w:val="16"/>
              </w:rPr>
              <w:t xml:space="preserve">Känner till innehåll i brandbestämmelser och förstår centrala principer </w:t>
            </w:r>
            <w:r w:rsidR="000C6D99" w:rsidRPr="000C6D99">
              <w:rPr>
                <w:rFonts w:ascii="Arial" w:hAnsi="Arial" w:cs="Arial"/>
                <w:sz w:val="16"/>
                <w:szCs w:val="16"/>
              </w:rPr>
              <w:t>inom byggnadsakustik</w:t>
            </w:r>
            <w:r w:rsidRPr="000C6D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6D99" w:rsidRPr="000C6D99">
              <w:rPr>
                <w:rFonts w:ascii="Arial" w:hAnsi="Arial" w:cs="Arial"/>
                <w:sz w:val="16"/>
                <w:szCs w:val="16"/>
              </w:rPr>
              <w:t>och trafik</w:t>
            </w:r>
            <w:r w:rsidRPr="000C6D99">
              <w:rPr>
                <w:rFonts w:ascii="Arial" w:hAnsi="Arial" w:cs="Arial"/>
                <w:sz w:val="16"/>
                <w:szCs w:val="16"/>
              </w:rPr>
              <w:t xml:space="preserve">planering </w:t>
            </w:r>
          </w:p>
        </w:tc>
        <w:tc>
          <w:tcPr>
            <w:tcW w:w="2127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0C6D99" w:rsidRDefault="00D76838" w:rsidP="00AE11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D99">
              <w:rPr>
                <w:rStyle w:val="details"/>
                <w:rFonts w:ascii="Arial" w:hAnsi="Arial" w:cs="Arial"/>
                <w:color w:val="333333"/>
                <w:sz w:val="16"/>
                <w:szCs w:val="16"/>
              </w:rPr>
              <w:t>Är förtrogen med de centrala brandbestämmelserna</w:t>
            </w:r>
            <w:r w:rsidR="000C6D99" w:rsidRPr="000C6D99">
              <w:rPr>
                <w:rStyle w:val="details"/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0C6D99" w:rsidRPr="000C6D99">
              <w:rPr>
                <w:rFonts w:ascii="Arial" w:hAnsi="Arial" w:cs="Arial"/>
                <w:sz w:val="16"/>
                <w:szCs w:val="16"/>
              </w:rPr>
              <w:t xml:space="preserve">och </w:t>
            </w:r>
            <w:r w:rsidR="00AE113B">
              <w:rPr>
                <w:rFonts w:ascii="Arial" w:hAnsi="Arial" w:cs="Arial"/>
                <w:sz w:val="16"/>
                <w:szCs w:val="16"/>
              </w:rPr>
              <w:t>kan tillämpa</w:t>
            </w:r>
            <w:r w:rsidR="000C6D99" w:rsidRPr="000C6D99">
              <w:rPr>
                <w:rFonts w:ascii="Arial" w:hAnsi="Arial" w:cs="Arial"/>
                <w:sz w:val="16"/>
                <w:szCs w:val="16"/>
              </w:rPr>
              <w:t xml:space="preserve"> principerna </w:t>
            </w:r>
            <w:r w:rsidR="000C6D99">
              <w:rPr>
                <w:rFonts w:ascii="Arial" w:hAnsi="Arial" w:cs="Arial"/>
                <w:sz w:val="16"/>
                <w:szCs w:val="16"/>
              </w:rPr>
              <w:t>för byggnadsakustik</w:t>
            </w:r>
            <w:r w:rsidR="000C6D99" w:rsidRPr="000C6D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6D99">
              <w:rPr>
                <w:rFonts w:ascii="Arial" w:hAnsi="Arial" w:cs="Arial"/>
                <w:sz w:val="16"/>
                <w:szCs w:val="16"/>
              </w:rPr>
              <w:t xml:space="preserve">och </w:t>
            </w:r>
            <w:r w:rsidR="000C6D99" w:rsidRPr="000C6D99">
              <w:rPr>
                <w:rFonts w:ascii="Arial" w:hAnsi="Arial" w:cs="Arial"/>
                <w:sz w:val="16"/>
                <w:szCs w:val="16"/>
              </w:rPr>
              <w:t>planering</w:t>
            </w:r>
          </w:p>
        </w:tc>
      </w:tr>
      <w:tr w:rsidR="00BA1E5D" w:rsidRPr="007A4766" w:rsidTr="007A4766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 </w:t>
            </w: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D00280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color w:val="0000FF"/>
                <w:sz w:val="16"/>
                <w:szCs w:val="16"/>
                <w:u w:val="single"/>
              </w:rPr>
              <w:t>Helhet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CC2B18" w:rsidRDefault="000C6D99" w:rsidP="007A47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B18">
              <w:rPr>
                <w:rFonts w:ascii="Arial" w:hAnsi="Arial" w:cs="Arial"/>
                <w:sz w:val="16"/>
                <w:szCs w:val="16"/>
              </w:rPr>
              <w:t xml:space="preserve">Kan utföra en enkel </w:t>
            </w:r>
            <w:proofErr w:type="spellStart"/>
            <w:r w:rsidRPr="00CC2B18">
              <w:rPr>
                <w:rFonts w:ascii="Arial" w:hAnsi="Arial" w:cs="Arial"/>
                <w:sz w:val="16"/>
                <w:szCs w:val="16"/>
              </w:rPr>
              <w:t>sektionering</w:t>
            </w:r>
            <w:proofErr w:type="spellEnd"/>
            <w:r w:rsidRPr="00CC2B18">
              <w:rPr>
                <w:rFonts w:ascii="Arial" w:hAnsi="Arial" w:cs="Arial"/>
                <w:sz w:val="16"/>
                <w:szCs w:val="16"/>
              </w:rPr>
              <w:t xml:space="preserve"> och brandklassning för ett objekt och välja lösningar för </w:t>
            </w:r>
            <w:r w:rsidR="00CC2B18" w:rsidRPr="00CC2B18">
              <w:rPr>
                <w:rFonts w:ascii="Arial" w:hAnsi="Arial" w:cs="Arial"/>
                <w:sz w:val="16"/>
                <w:szCs w:val="16"/>
              </w:rPr>
              <w:t>bullerskydd.</w:t>
            </w: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0C6D99" w:rsidP="000C6D9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C6D99">
              <w:rPr>
                <w:rFonts w:ascii="Arial" w:hAnsi="Arial" w:cs="Arial"/>
                <w:sz w:val="16"/>
                <w:szCs w:val="16"/>
              </w:rPr>
              <w:t>Ka</w:t>
            </w:r>
            <w:r>
              <w:rPr>
                <w:rFonts w:ascii="Arial" w:hAnsi="Arial" w:cs="Arial"/>
                <w:sz w:val="16"/>
                <w:szCs w:val="16"/>
              </w:rPr>
              <w:t xml:space="preserve">n omsätta centrala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brandkrav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och </w:t>
            </w:r>
            <w:r w:rsidRPr="000C6D99">
              <w:rPr>
                <w:rFonts w:ascii="Arial" w:hAnsi="Arial" w:cs="Arial"/>
                <w:sz w:val="16"/>
                <w:szCs w:val="16"/>
              </w:rPr>
              <w:t>akustiska principer på vanligt förekommande problem</w:t>
            </w:r>
            <w:r>
              <w:rPr>
                <w:rFonts w:ascii="Arial" w:hAnsi="Arial" w:cs="Arial"/>
                <w:sz w:val="16"/>
                <w:szCs w:val="16"/>
              </w:rPr>
              <w:t xml:space="preserve"> och objekt</w:t>
            </w:r>
            <w:r w:rsidRPr="000C6D9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2127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0C6D99" w:rsidRDefault="000C6D99" w:rsidP="000C6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D99">
              <w:rPr>
                <w:rFonts w:ascii="Arial" w:hAnsi="Arial" w:cs="Arial"/>
                <w:sz w:val="16"/>
                <w:szCs w:val="16"/>
              </w:rPr>
              <w:t>Ka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CC2B18">
              <w:rPr>
                <w:rFonts w:ascii="Arial" w:hAnsi="Arial" w:cs="Arial"/>
                <w:sz w:val="16"/>
                <w:szCs w:val="16"/>
              </w:rPr>
              <w:t xml:space="preserve"> omsätta </w:t>
            </w:r>
            <w:proofErr w:type="spellStart"/>
            <w:r w:rsidR="00CC2B18">
              <w:rPr>
                <w:rFonts w:ascii="Arial" w:hAnsi="Arial" w:cs="Arial"/>
                <w:sz w:val="16"/>
                <w:szCs w:val="16"/>
              </w:rPr>
              <w:t>brandkrav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och </w:t>
            </w:r>
            <w:r w:rsidRPr="000C6D99">
              <w:rPr>
                <w:rFonts w:ascii="Arial" w:hAnsi="Arial" w:cs="Arial"/>
                <w:sz w:val="16"/>
                <w:szCs w:val="16"/>
              </w:rPr>
              <w:t>akustiska principer på vanligt förekommande problem</w:t>
            </w:r>
            <w:r>
              <w:rPr>
                <w:rFonts w:ascii="Arial" w:hAnsi="Arial" w:cs="Arial"/>
                <w:sz w:val="16"/>
                <w:szCs w:val="16"/>
              </w:rPr>
              <w:t xml:space="preserve"> och objekt</w:t>
            </w:r>
            <w:r w:rsidRPr="000C6D9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C6D99">
              <w:rPr>
                <w:rStyle w:val="details"/>
                <w:rFonts w:ascii="Arial" w:hAnsi="Arial" w:cs="Arial"/>
                <w:color w:val="333333"/>
                <w:sz w:val="16"/>
                <w:szCs w:val="16"/>
              </w:rPr>
              <w:t>med hänsyn till funktion, hållbarhet, estetik och ekonomi</w:t>
            </w:r>
            <w:r>
              <w:rPr>
                <w:rStyle w:val="details"/>
                <w:rFonts w:ascii="Arial" w:hAnsi="Arial" w:cs="Arial"/>
                <w:color w:val="333333"/>
                <w:sz w:val="16"/>
                <w:szCs w:val="16"/>
              </w:rPr>
              <w:t>.</w:t>
            </w:r>
          </w:p>
        </w:tc>
      </w:tr>
    </w:tbl>
    <w:p w:rsidR="00BA1E5D" w:rsidRPr="00BA1E5D" w:rsidRDefault="00BA1E5D" w:rsidP="00BA1E5D">
      <w:pPr>
        <w:rPr>
          <w:sz w:val="16"/>
          <w:szCs w:val="16"/>
          <w:u w:val="single"/>
        </w:rPr>
      </w:pPr>
    </w:p>
    <w:p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9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77" w:rsidRDefault="00D57677" w:rsidP="008A7EBD">
      <w:pPr>
        <w:spacing w:after="0" w:line="240" w:lineRule="auto"/>
      </w:pPr>
      <w:r>
        <w:separator/>
      </w:r>
    </w:p>
  </w:endnote>
  <w:endnote w:type="continuationSeparator" w:id="0">
    <w:p w:rsidR="00D57677" w:rsidRDefault="00D57677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7A4766" w:rsidRPr="007A4766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</w:tr>
    <w:tr w:rsidR="007A4766" w:rsidRPr="007A4766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7A4766" w:rsidRPr="007A4766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0F6646">
          <w:pPr>
            <w:pStyle w:val="Footer"/>
          </w:pPr>
          <w:r w:rsidRPr="007A4766">
            <w:rPr>
              <w:sz w:val="16"/>
            </w:rPr>
            <w:t>NN</w:t>
          </w:r>
          <w:r w:rsidR="009B1DD9" w:rsidRPr="007A4766">
            <w:rPr>
              <w:sz w:val="16"/>
            </w:rPr>
            <w:t xml:space="preserve"> </w:t>
          </w:r>
          <w:proofErr w:type="spellStart"/>
          <w:r w:rsidRPr="007A4766">
            <w:rPr>
              <w:sz w:val="16"/>
            </w:rPr>
            <w:t>dd.mm</w:t>
          </w:r>
          <w:r w:rsidR="009B1DD9" w:rsidRPr="007A4766">
            <w:rPr>
              <w:sz w:val="16"/>
            </w:rPr>
            <w:t>.</w:t>
          </w:r>
          <w:r w:rsidRPr="007A4766"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924320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</w:t>
          </w:r>
          <w:r w:rsidR="00A80799" w:rsidRPr="007A4766">
            <w:rPr>
              <w:sz w:val="16"/>
              <w:szCs w:val="16"/>
            </w:rPr>
            <w:t>201</w:t>
          </w:r>
          <w:r w:rsidR="000F6646" w:rsidRPr="007A4766">
            <w:rPr>
              <w:sz w:val="16"/>
              <w:szCs w:val="16"/>
            </w:rPr>
            <w:t>8</w:t>
          </w:r>
        </w:p>
      </w:tc>
    </w:tr>
  </w:tbl>
  <w:p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77" w:rsidRDefault="00D57677" w:rsidP="008A7EBD">
      <w:pPr>
        <w:spacing w:after="0" w:line="240" w:lineRule="auto"/>
      </w:pPr>
      <w:r>
        <w:separator/>
      </w:r>
    </w:p>
  </w:footnote>
  <w:footnote w:type="continuationSeparator" w:id="0">
    <w:p w:rsidR="00D57677" w:rsidRDefault="00D57677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B304E"/>
    <w:rsid w:val="000C6D99"/>
    <w:rsid w:val="000F6646"/>
    <w:rsid w:val="00111C03"/>
    <w:rsid w:val="001133B5"/>
    <w:rsid w:val="00140798"/>
    <w:rsid w:val="00156596"/>
    <w:rsid w:val="00157131"/>
    <w:rsid w:val="00167657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4D064B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0FED"/>
    <w:rsid w:val="005B11AD"/>
    <w:rsid w:val="005C42FC"/>
    <w:rsid w:val="005E4A6D"/>
    <w:rsid w:val="00602190"/>
    <w:rsid w:val="00615CFA"/>
    <w:rsid w:val="00620DB5"/>
    <w:rsid w:val="00645801"/>
    <w:rsid w:val="00673814"/>
    <w:rsid w:val="00674A20"/>
    <w:rsid w:val="006D3A71"/>
    <w:rsid w:val="006E6FC0"/>
    <w:rsid w:val="006F2AB8"/>
    <w:rsid w:val="0070553D"/>
    <w:rsid w:val="00747B68"/>
    <w:rsid w:val="00764202"/>
    <w:rsid w:val="0077062A"/>
    <w:rsid w:val="00773114"/>
    <w:rsid w:val="007A4766"/>
    <w:rsid w:val="007C4791"/>
    <w:rsid w:val="007C50AF"/>
    <w:rsid w:val="00836336"/>
    <w:rsid w:val="0087122D"/>
    <w:rsid w:val="00877C7B"/>
    <w:rsid w:val="008A1833"/>
    <w:rsid w:val="008A7EBD"/>
    <w:rsid w:val="008D1310"/>
    <w:rsid w:val="008D2D3E"/>
    <w:rsid w:val="008D66F8"/>
    <w:rsid w:val="0091399C"/>
    <w:rsid w:val="00924320"/>
    <w:rsid w:val="00935847"/>
    <w:rsid w:val="009638DE"/>
    <w:rsid w:val="00970DF8"/>
    <w:rsid w:val="0097481D"/>
    <w:rsid w:val="00981DDD"/>
    <w:rsid w:val="00982799"/>
    <w:rsid w:val="0099493B"/>
    <w:rsid w:val="009A4DD6"/>
    <w:rsid w:val="009B1DD9"/>
    <w:rsid w:val="009B6F66"/>
    <w:rsid w:val="009D4802"/>
    <w:rsid w:val="00A21473"/>
    <w:rsid w:val="00A4093C"/>
    <w:rsid w:val="00A5695B"/>
    <w:rsid w:val="00A761FB"/>
    <w:rsid w:val="00A8040F"/>
    <w:rsid w:val="00A80799"/>
    <w:rsid w:val="00AD5D90"/>
    <w:rsid w:val="00AE113B"/>
    <w:rsid w:val="00B31953"/>
    <w:rsid w:val="00B4539B"/>
    <w:rsid w:val="00B57DB6"/>
    <w:rsid w:val="00BA1E5D"/>
    <w:rsid w:val="00BF791D"/>
    <w:rsid w:val="00C03F72"/>
    <w:rsid w:val="00C10FA3"/>
    <w:rsid w:val="00C2587B"/>
    <w:rsid w:val="00C51AB6"/>
    <w:rsid w:val="00C56AEC"/>
    <w:rsid w:val="00C751ED"/>
    <w:rsid w:val="00C836DE"/>
    <w:rsid w:val="00C966CE"/>
    <w:rsid w:val="00CC2B18"/>
    <w:rsid w:val="00CC3597"/>
    <w:rsid w:val="00D00280"/>
    <w:rsid w:val="00D01E81"/>
    <w:rsid w:val="00D031FA"/>
    <w:rsid w:val="00D30CBA"/>
    <w:rsid w:val="00D3200F"/>
    <w:rsid w:val="00D3365B"/>
    <w:rsid w:val="00D46B09"/>
    <w:rsid w:val="00D57677"/>
    <w:rsid w:val="00D76838"/>
    <w:rsid w:val="00D94AA6"/>
    <w:rsid w:val="00DB1433"/>
    <w:rsid w:val="00DB2ED7"/>
    <w:rsid w:val="00DB5127"/>
    <w:rsid w:val="00DC0F9A"/>
    <w:rsid w:val="00DC6230"/>
    <w:rsid w:val="00DD3AFC"/>
    <w:rsid w:val="00DF6B1F"/>
    <w:rsid w:val="00E1367F"/>
    <w:rsid w:val="00E24063"/>
    <w:rsid w:val="00E249FD"/>
    <w:rsid w:val="00E4493E"/>
    <w:rsid w:val="00E46835"/>
    <w:rsid w:val="00E50DA9"/>
    <w:rsid w:val="00E70D12"/>
    <w:rsid w:val="00E755AA"/>
    <w:rsid w:val="00E90D4F"/>
    <w:rsid w:val="00E97006"/>
    <w:rsid w:val="00EF6564"/>
    <w:rsid w:val="00F23E59"/>
    <w:rsid w:val="00F409F7"/>
    <w:rsid w:val="00F40B93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DAE6D8"/>
  <w15:docId w15:val="{58E501A9-5BB4-4030-BDD9-A7BA4454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  <w:pPr>
      <w:spacing w:after="200" w:line="276" w:lineRule="auto"/>
    </w:pPr>
    <w:rPr>
      <w:sz w:val="22"/>
      <w:szCs w:val="22"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rPr>
      <w:sz w:val="22"/>
      <w:szCs w:val="22"/>
      <w:lang w:val="sv-FI"/>
    </w:r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uiPriority w:val="99"/>
    <w:unhideWhenUsed/>
    <w:rsid w:val="00C836DE"/>
    <w:rPr>
      <w:color w:val="0000FF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i-FI"/>
    </w:rPr>
  </w:style>
  <w:style w:type="table" w:customStyle="1" w:styleId="TableGrid1">
    <w:name w:val="Table Grid1"/>
    <w:basedOn w:val="TableNormal"/>
    <w:next w:val="TableGrid"/>
    <w:uiPriority w:val="59"/>
    <w:rsid w:val="00BA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s">
    <w:name w:val="details"/>
    <w:rsid w:val="005E4A6D"/>
  </w:style>
  <w:style w:type="character" w:customStyle="1" w:styleId="re-collapse">
    <w:name w:val="re-collapse"/>
    <w:rsid w:val="005E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6D14-650D-4F61-B4F5-C1F84E1B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1820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</dc:creator>
  <cp:keywords/>
  <cp:lastModifiedBy>Petra Autio</cp:lastModifiedBy>
  <cp:revision>4</cp:revision>
  <cp:lastPrinted>2014-04-03T04:34:00Z</cp:lastPrinted>
  <dcterms:created xsi:type="dcterms:W3CDTF">2018-01-29T08:30:00Z</dcterms:created>
  <dcterms:modified xsi:type="dcterms:W3CDTF">2018-03-16T08:42:00Z</dcterms:modified>
</cp:coreProperties>
</file>