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127854EA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6F7F68">
        <w:rPr>
          <w:sz w:val="16"/>
          <w:szCs w:val="16"/>
        </w:rPr>
        <w:t>FEV18EF03</w:t>
      </w:r>
      <w:bookmarkStart w:id="0" w:name="_GoBack"/>
      <w:bookmarkEnd w:id="0"/>
    </w:p>
    <w:p w14:paraId="0A5503F9" w14:textId="141F3B7A" w:rsidR="008A7EBD" w:rsidRDefault="008A7EBD" w:rsidP="007544D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7544DA">
        <w:rPr>
          <w:sz w:val="20"/>
          <w:szCs w:val="20"/>
        </w:rPr>
        <w:t>Specialfrågor inom ekonomiförvaltningen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03"/>
        <w:gridCol w:w="2409"/>
        <w:gridCol w:w="2410"/>
        <w:gridCol w:w="2410"/>
      </w:tblGrid>
      <w:tr w:rsidR="00290B98" w:rsidRPr="007C50AF" w14:paraId="6AED38B0" w14:textId="77777777" w:rsidTr="007A2D82">
        <w:trPr>
          <w:trHeight w:val="3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7A2D82">
        <w:trPr>
          <w:trHeight w:val="1281"/>
        </w:trPr>
        <w:tc>
          <w:tcPr>
            <w:tcW w:w="2003" w:type="dxa"/>
            <w:tcBorders>
              <w:top w:val="nil"/>
              <w:left w:val="nil"/>
              <w:bottom w:val="nil"/>
            </w:tcBorders>
          </w:tcPr>
          <w:p w14:paraId="32F98E14" w14:textId="54C7762A" w:rsidR="007C50AF" w:rsidRPr="007C50AF" w:rsidRDefault="007544D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Koncernredovisning</w:t>
            </w:r>
          </w:p>
        </w:tc>
        <w:tc>
          <w:tcPr>
            <w:tcW w:w="2409" w:type="dxa"/>
          </w:tcPr>
          <w:p w14:paraId="391F820D" w14:textId="77777777" w:rsidR="007544DA" w:rsidRPr="007544DA" w:rsidRDefault="007544DA" w:rsidP="007544DA">
            <w:pPr>
              <w:ind w:left="1304" w:hanging="1304"/>
              <w:rPr>
                <w:sz w:val="16"/>
                <w:szCs w:val="16"/>
              </w:rPr>
            </w:pPr>
            <w:r w:rsidRPr="007544DA">
              <w:rPr>
                <w:sz w:val="16"/>
                <w:szCs w:val="16"/>
              </w:rPr>
              <w:t>Studerande</w:t>
            </w:r>
          </w:p>
          <w:p w14:paraId="08CCF2A2" w14:textId="77777777" w:rsidR="007544DA" w:rsidRPr="007544DA" w:rsidRDefault="007544DA" w:rsidP="007544DA">
            <w:pPr>
              <w:rPr>
                <w:b/>
                <w:sz w:val="16"/>
                <w:szCs w:val="16"/>
              </w:rPr>
            </w:pPr>
            <w:r w:rsidRPr="007544DA">
              <w:rPr>
                <w:sz w:val="16"/>
                <w:szCs w:val="16"/>
              </w:rPr>
              <w:t xml:space="preserve">förstår begreppet koncern och kan identifiera koncernstrukturer </w:t>
            </w:r>
          </w:p>
          <w:p w14:paraId="69F9A793" w14:textId="6CB61E9A" w:rsidR="007C50AF" w:rsidRPr="00290B98" w:rsidRDefault="007C50AF" w:rsidP="00F23E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99E9E9A" w14:textId="32708702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vet kriterierna när ett koncernbokslut bör uppgöras, samt kan uppgöra enklare koncernbokslut</w:t>
            </w:r>
          </w:p>
        </w:tc>
        <w:tc>
          <w:tcPr>
            <w:tcW w:w="2410" w:type="dxa"/>
          </w:tcPr>
          <w:p w14:paraId="45373883" w14:textId="6E81FFDC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uppgöra koncernbokslut</w:t>
            </w:r>
          </w:p>
        </w:tc>
      </w:tr>
      <w:tr w:rsidR="007C50AF" w:rsidRPr="007C50AF" w14:paraId="0B996A09" w14:textId="77777777" w:rsidTr="007A2D82">
        <w:trPr>
          <w:trHeight w:val="1281"/>
        </w:trPr>
        <w:tc>
          <w:tcPr>
            <w:tcW w:w="2003" w:type="dxa"/>
            <w:tcBorders>
              <w:top w:val="nil"/>
              <w:left w:val="nil"/>
              <w:bottom w:val="nil"/>
            </w:tcBorders>
          </w:tcPr>
          <w:p w14:paraId="7B62A36E" w14:textId="5F2F596C" w:rsidR="007C50AF" w:rsidRPr="007C50AF" w:rsidRDefault="007544D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Internationell redovisning</w:t>
            </w:r>
          </w:p>
        </w:tc>
        <w:tc>
          <w:tcPr>
            <w:tcW w:w="2409" w:type="dxa"/>
          </w:tcPr>
          <w:p w14:paraId="2AF92A7E" w14:textId="36FB41D7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standarder och principer som påverkar redovisningen ur ett internationellt perspektiv</w:t>
            </w:r>
          </w:p>
        </w:tc>
        <w:tc>
          <w:tcPr>
            <w:tcW w:w="2410" w:type="dxa"/>
          </w:tcPr>
          <w:p w14:paraId="33DFDCCC" w14:textId="04A81328" w:rsidR="007C50AF" w:rsidRPr="00290B98" w:rsidRDefault="007544DA" w:rsidP="00754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principerna vid uppgörande av ett IFRS-bokslut och  kan förklara skillnaden mellan ett FAS och IFRS-bokslut</w:t>
            </w:r>
          </w:p>
        </w:tc>
        <w:tc>
          <w:tcPr>
            <w:tcW w:w="2410" w:type="dxa"/>
          </w:tcPr>
          <w:p w14:paraId="2E263A5A" w14:textId="69988919" w:rsidR="007C50AF" w:rsidRPr="00290B98" w:rsidRDefault="007544DA" w:rsidP="00754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väl till principerna vid uppgörande av ett IFRS-bokslut och  kan på ett motiverat sätt förklara skillnaden mellan ett FAS och IFRS-bokslut</w:t>
            </w:r>
          </w:p>
        </w:tc>
      </w:tr>
      <w:tr w:rsidR="007C50AF" w:rsidRPr="007C50AF" w14:paraId="03D298EE" w14:textId="77777777" w:rsidTr="007A2D82">
        <w:trPr>
          <w:trHeight w:val="1281"/>
        </w:trPr>
        <w:tc>
          <w:tcPr>
            <w:tcW w:w="2003" w:type="dxa"/>
            <w:tcBorders>
              <w:top w:val="nil"/>
              <w:left w:val="nil"/>
              <w:bottom w:val="nil"/>
            </w:tcBorders>
          </w:tcPr>
          <w:p w14:paraId="26C60F50" w14:textId="3FB0E4E4" w:rsidR="007C50AF" w:rsidRPr="007C50AF" w:rsidRDefault="007544D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Företagsvärdering</w:t>
            </w:r>
          </w:p>
        </w:tc>
        <w:tc>
          <w:tcPr>
            <w:tcW w:w="2409" w:type="dxa"/>
          </w:tcPr>
          <w:p w14:paraId="17859EDC" w14:textId="2A02B0D9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grunderna i företagsvärdering.</w:t>
            </w:r>
          </w:p>
        </w:tc>
        <w:tc>
          <w:tcPr>
            <w:tcW w:w="2410" w:type="dxa"/>
          </w:tcPr>
          <w:p w14:paraId="7C2C0B40" w14:textId="455178E0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värderingssituationen och känner till några tillämpade värderingsmetoder.</w:t>
            </w:r>
          </w:p>
        </w:tc>
        <w:tc>
          <w:tcPr>
            <w:tcW w:w="2410" w:type="dxa"/>
          </w:tcPr>
          <w:p w14:paraId="40B89255" w14:textId="2E342605" w:rsidR="007C50AF" w:rsidRPr="00290B98" w:rsidRDefault="007544D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utföra enklare företagsvärderingar och känner till processen vid företagsbesiktning (</w:t>
            </w:r>
            <w:proofErr w:type="spellStart"/>
            <w:r>
              <w:rPr>
                <w:sz w:val="16"/>
                <w:szCs w:val="16"/>
              </w:rPr>
              <w:t>due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diligence</w:t>
            </w:r>
            <w:proofErr w:type="spellEnd"/>
            <w:r>
              <w:rPr>
                <w:sz w:val="16"/>
                <w:szCs w:val="16"/>
              </w:rPr>
              <w:t>) inför företagsförvärv</w:t>
            </w:r>
          </w:p>
        </w:tc>
      </w:tr>
      <w:tr w:rsidR="007C50AF" w:rsidRPr="007C50AF" w14:paraId="7F9C0E8A" w14:textId="77777777" w:rsidTr="007A2D82">
        <w:trPr>
          <w:trHeight w:val="1281"/>
        </w:trPr>
        <w:tc>
          <w:tcPr>
            <w:tcW w:w="2003" w:type="dxa"/>
            <w:tcBorders>
              <w:top w:val="nil"/>
              <w:left w:val="nil"/>
              <w:bottom w:val="nil"/>
            </w:tcBorders>
          </w:tcPr>
          <w:p w14:paraId="7E7415C0" w14:textId="7BAF88A1" w:rsidR="007C50AF" w:rsidRPr="007C50AF" w:rsidRDefault="007544D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Företagsarrangemang</w:t>
            </w:r>
          </w:p>
        </w:tc>
        <w:tc>
          <w:tcPr>
            <w:tcW w:w="2409" w:type="dxa"/>
          </w:tcPr>
          <w:p w14:paraId="414191F7" w14:textId="3660B3B3" w:rsidR="007C50AF" w:rsidRPr="00290B98" w:rsidRDefault="00D85C1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olika företagsarrangemangen</w:t>
            </w:r>
          </w:p>
        </w:tc>
        <w:tc>
          <w:tcPr>
            <w:tcW w:w="2410" w:type="dxa"/>
          </w:tcPr>
          <w:p w14:paraId="0B8990B8" w14:textId="62DC37B5" w:rsidR="007C50AF" w:rsidRPr="00290B98" w:rsidRDefault="00D85C1A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de olika företagsarrangemangen ur redovisningens synvinkel</w:t>
            </w:r>
          </w:p>
        </w:tc>
        <w:tc>
          <w:tcPr>
            <w:tcW w:w="2410" w:type="dxa"/>
          </w:tcPr>
          <w:p w14:paraId="37818A1B" w14:textId="4CD4CA4E" w:rsidR="007C50AF" w:rsidRPr="00290B98" w:rsidRDefault="00D85C1A" w:rsidP="00D85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redogöra för reglerna kring företagsarrangemang. Studerande kan självständigt uppta olika företags-arrangemang, såsom fusion, fission, verksamhetsöverlåtelse och aktiebyten, i affärsredovisningen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B465" w14:textId="77777777" w:rsidR="0044677E" w:rsidRDefault="0044677E" w:rsidP="008A7EBD">
      <w:pPr>
        <w:spacing w:after="0" w:line="240" w:lineRule="auto"/>
      </w:pPr>
      <w:r>
        <w:separator/>
      </w:r>
    </w:p>
  </w:endnote>
  <w:endnote w:type="continuationSeparator" w:id="0">
    <w:p w14:paraId="01A1CEA1" w14:textId="77777777" w:rsidR="0044677E" w:rsidRDefault="0044677E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9AA2" w14:textId="77777777" w:rsidR="0044677E" w:rsidRDefault="0044677E" w:rsidP="008A7EBD">
      <w:pPr>
        <w:spacing w:after="0" w:line="240" w:lineRule="auto"/>
      </w:pPr>
      <w:r>
        <w:separator/>
      </w:r>
    </w:p>
  </w:footnote>
  <w:footnote w:type="continuationSeparator" w:id="0">
    <w:p w14:paraId="15523D14" w14:textId="77777777" w:rsidR="0044677E" w:rsidRDefault="0044677E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7A1"/>
    <w:multiLevelType w:val="hybridMultilevel"/>
    <w:tmpl w:val="428EA226"/>
    <w:lvl w:ilvl="0" w:tplc="DC4CCD1C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  <w:b w:val="0"/>
        <w:color w:val="333333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677E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6F7F68"/>
    <w:rsid w:val="0070553D"/>
    <w:rsid w:val="00747B68"/>
    <w:rsid w:val="007544DA"/>
    <w:rsid w:val="0077062A"/>
    <w:rsid w:val="00773114"/>
    <w:rsid w:val="007A2D82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85C1A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6D2A-E2E5-4D72-89D0-25701F6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2018-02-28T08:17:00Z</dcterms:created>
  <dcterms:modified xsi:type="dcterms:W3CDTF">2018-03-15T18:57:00Z</dcterms:modified>
</cp:coreProperties>
</file>