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DB5" w:rsidRDefault="00620DB5">
      <w:pPr>
        <w:rPr>
          <w:sz w:val="28"/>
          <w:szCs w:val="28"/>
          <w:u w:val="single"/>
        </w:rPr>
      </w:pPr>
    </w:p>
    <w:p w:rsidR="002C18BA" w:rsidRPr="00111C03" w:rsidRDefault="00111C03" w:rsidP="002C18BA">
      <w:pPr>
        <w:rPr>
          <w:szCs w:val="16"/>
        </w:rPr>
      </w:pPr>
      <w:r w:rsidRPr="00111C03">
        <w:rPr>
          <w:b/>
          <w:szCs w:val="16"/>
          <w:u w:val="single"/>
        </w:rPr>
        <w:t>Kursspecifika kompetenser</w:t>
      </w:r>
      <w:r w:rsidR="0077062A" w:rsidRPr="00111C03">
        <w:rPr>
          <w:szCs w:val="16"/>
        </w:rPr>
        <w:t xml:space="preserve"> </w:t>
      </w:r>
    </w:p>
    <w:p w:rsidR="004A6725" w:rsidRDefault="008A7EBD" w:rsidP="002C18BA">
      <w:pPr>
        <w:spacing w:line="240" w:lineRule="auto"/>
        <w:contextualSpacing/>
        <w:rPr>
          <w:sz w:val="16"/>
          <w:szCs w:val="16"/>
        </w:rPr>
      </w:pPr>
      <w:proofErr w:type="spellStart"/>
      <w:r w:rsidRPr="008A7EBD">
        <w:rPr>
          <w:sz w:val="16"/>
          <w:szCs w:val="16"/>
        </w:rPr>
        <w:t>Kurskod</w:t>
      </w:r>
      <w:proofErr w:type="spellEnd"/>
      <w:r w:rsidRPr="008A7EBD">
        <w:rPr>
          <w:sz w:val="16"/>
          <w:szCs w:val="16"/>
        </w:rPr>
        <w:t xml:space="preserve">:       </w:t>
      </w:r>
      <w:r w:rsidR="00110D5C">
        <w:rPr>
          <w:sz w:val="16"/>
          <w:szCs w:val="16"/>
        </w:rPr>
        <w:t>FEV18ET02</w:t>
      </w:r>
      <w:bookmarkStart w:id="0" w:name="_GoBack"/>
      <w:bookmarkEnd w:id="0"/>
    </w:p>
    <w:p w:rsidR="008A7EBD" w:rsidRDefault="008A7EBD" w:rsidP="002C18BA">
      <w:pPr>
        <w:spacing w:line="240" w:lineRule="auto"/>
        <w:contextualSpacing/>
        <w:rPr>
          <w:sz w:val="16"/>
          <w:szCs w:val="16"/>
        </w:rPr>
      </w:pPr>
      <w:r w:rsidRPr="008A7EBD">
        <w:rPr>
          <w:sz w:val="16"/>
          <w:szCs w:val="16"/>
        </w:rPr>
        <w:t>Kursnamn:</w:t>
      </w:r>
      <w:r w:rsidR="004A6725">
        <w:rPr>
          <w:sz w:val="16"/>
          <w:szCs w:val="16"/>
        </w:rPr>
        <w:t xml:space="preserve">   </w:t>
      </w:r>
      <w:r w:rsidR="000D2EDE">
        <w:rPr>
          <w:sz w:val="16"/>
          <w:szCs w:val="16"/>
        </w:rPr>
        <w:t>Företagsanalys</w:t>
      </w:r>
    </w:p>
    <w:p w:rsidR="002C18BA" w:rsidRDefault="002C18BA" w:rsidP="00585D6B">
      <w:pPr>
        <w:spacing w:line="240" w:lineRule="auto"/>
        <w:contextualSpacing/>
        <w:rPr>
          <w:sz w:val="16"/>
          <w:szCs w:val="16"/>
        </w:rPr>
      </w:pPr>
    </w:p>
    <w:p w:rsidR="002C18BA" w:rsidRPr="00111C03" w:rsidRDefault="00E1367F" w:rsidP="00602190">
      <w:pPr>
        <w:spacing w:line="240" w:lineRule="auto"/>
        <w:contextualSpacing/>
        <w:rPr>
          <w:b/>
          <w:szCs w:val="32"/>
        </w:rPr>
      </w:pPr>
      <w:r w:rsidRPr="00111C03">
        <w:rPr>
          <w:b/>
          <w:szCs w:val="32"/>
        </w:rPr>
        <w:t>Kompetenser</w:t>
      </w:r>
      <w:r w:rsidRPr="00111C03">
        <w:rPr>
          <w:sz w:val="10"/>
          <w:szCs w:val="16"/>
        </w:rPr>
        <w:tab/>
      </w:r>
      <w:r w:rsidRPr="00111C03">
        <w:rPr>
          <w:sz w:val="10"/>
          <w:szCs w:val="16"/>
        </w:rPr>
        <w:tab/>
      </w:r>
      <w:r w:rsidR="00C51AB6" w:rsidRPr="00111C03">
        <w:rPr>
          <w:sz w:val="10"/>
          <w:szCs w:val="16"/>
        </w:rPr>
        <w:t xml:space="preserve">  </w:t>
      </w:r>
      <w:r w:rsidRPr="00111C03">
        <w:rPr>
          <w:b/>
          <w:szCs w:val="32"/>
        </w:rPr>
        <w:t>Bedömning</w:t>
      </w:r>
      <w:r w:rsidR="0077062A" w:rsidRPr="00111C03">
        <w:rPr>
          <w:b/>
          <w:szCs w:val="32"/>
        </w:rPr>
        <w:t>sgrunder</w:t>
      </w:r>
    </w:p>
    <w:p w:rsidR="00E1367F" w:rsidRDefault="00E1367F">
      <w:pPr>
        <w:rPr>
          <w:sz w:val="16"/>
          <w:szCs w:val="16"/>
        </w:rPr>
      </w:pPr>
    </w:p>
    <w:tbl>
      <w:tblPr>
        <w:tblStyle w:val="TableGrid"/>
        <w:tblW w:w="0" w:type="auto"/>
        <w:tblInd w:w="-142" w:type="dxa"/>
        <w:tblLook w:val="04A0" w:firstRow="1" w:lastRow="0" w:firstColumn="1" w:lastColumn="0" w:noHBand="0" w:noVBand="1"/>
      </w:tblPr>
      <w:tblGrid>
        <w:gridCol w:w="1985"/>
        <w:gridCol w:w="2409"/>
        <w:gridCol w:w="2410"/>
        <w:gridCol w:w="2410"/>
      </w:tblGrid>
      <w:tr w:rsidR="00290B98" w:rsidRPr="007C50AF" w:rsidTr="00290B98">
        <w:trPr>
          <w:trHeight w:val="305"/>
        </w:trPr>
        <w:tc>
          <w:tcPr>
            <w:tcW w:w="1985" w:type="dxa"/>
            <w:tcBorders>
              <w:top w:val="nil"/>
              <w:left w:val="nil"/>
              <w:bottom w:val="nil"/>
              <w:right w:val="nil"/>
            </w:tcBorders>
          </w:tcPr>
          <w:p w:rsidR="00290B98" w:rsidRPr="007C50AF" w:rsidRDefault="00290B98" w:rsidP="00290B98">
            <w:pPr>
              <w:jc w:val="center"/>
              <w:rPr>
                <w:sz w:val="20"/>
                <w:szCs w:val="16"/>
              </w:rPr>
            </w:pPr>
          </w:p>
        </w:tc>
        <w:tc>
          <w:tcPr>
            <w:tcW w:w="2409" w:type="dxa"/>
            <w:tcBorders>
              <w:top w:val="nil"/>
              <w:left w:val="nil"/>
              <w:right w:val="nil"/>
            </w:tcBorders>
          </w:tcPr>
          <w:p w:rsidR="00290B98" w:rsidRPr="00290B98" w:rsidRDefault="00290B98" w:rsidP="00290B98">
            <w:pPr>
              <w:jc w:val="center"/>
              <w:rPr>
                <w:sz w:val="16"/>
                <w:szCs w:val="16"/>
              </w:rPr>
            </w:pPr>
            <w:r>
              <w:rPr>
                <w:sz w:val="16"/>
                <w:szCs w:val="16"/>
              </w:rPr>
              <w:t>1</w:t>
            </w:r>
          </w:p>
        </w:tc>
        <w:tc>
          <w:tcPr>
            <w:tcW w:w="2410" w:type="dxa"/>
            <w:tcBorders>
              <w:top w:val="nil"/>
              <w:left w:val="nil"/>
              <w:right w:val="nil"/>
            </w:tcBorders>
          </w:tcPr>
          <w:p w:rsidR="00290B98" w:rsidRPr="00290B98" w:rsidRDefault="00290B98" w:rsidP="00290B98">
            <w:pPr>
              <w:jc w:val="center"/>
              <w:rPr>
                <w:sz w:val="16"/>
                <w:szCs w:val="16"/>
              </w:rPr>
            </w:pPr>
            <w:r>
              <w:rPr>
                <w:sz w:val="16"/>
                <w:szCs w:val="16"/>
              </w:rPr>
              <w:t>3</w:t>
            </w:r>
          </w:p>
        </w:tc>
        <w:tc>
          <w:tcPr>
            <w:tcW w:w="2410" w:type="dxa"/>
            <w:tcBorders>
              <w:top w:val="nil"/>
              <w:left w:val="nil"/>
              <w:right w:val="nil"/>
            </w:tcBorders>
          </w:tcPr>
          <w:p w:rsidR="00290B98" w:rsidRPr="00290B98" w:rsidRDefault="00290B98" w:rsidP="00290B98">
            <w:pPr>
              <w:jc w:val="center"/>
              <w:rPr>
                <w:sz w:val="16"/>
                <w:szCs w:val="16"/>
              </w:rPr>
            </w:pPr>
            <w:r>
              <w:rPr>
                <w:sz w:val="16"/>
                <w:szCs w:val="16"/>
              </w:rPr>
              <w:t>5</w:t>
            </w:r>
          </w:p>
        </w:tc>
      </w:tr>
      <w:tr w:rsidR="007C50AF" w:rsidRPr="007C50AF" w:rsidTr="00290B98">
        <w:trPr>
          <w:trHeight w:val="1281"/>
        </w:trPr>
        <w:tc>
          <w:tcPr>
            <w:tcW w:w="1985" w:type="dxa"/>
            <w:tcBorders>
              <w:top w:val="nil"/>
              <w:left w:val="nil"/>
              <w:bottom w:val="nil"/>
            </w:tcBorders>
          </w:tcPr>
          <w:p w:rsidR="007C50AF" w:rsidRPr="007C50AF" w:rsidRDefault="000D2EDE" w:rsidP="00F23E59">
            <w:pPr>
              <w:rPr>
                <w:sz w:val="20"/>
                <w:szCs w:val="16"/>
              </w:rPr>
            </w:pPr>
            <w:r>
              <w:rPr>
                <w:sz w:val="20"/>
                <w:szCs w:val="16"/>
              </w:rPr>
              <w:t>Bokslutskunskap</w:t>
            </w:r>
          </w:p>
        </w:tc>
        <w:tc>
          <w:tcPr>
            <w:tcW w:w="2409" w:type="dxa"/>
          </w:tcPr>
          <w:p w:rsidR="007C50AF" w:rsidRPr="00290B98" w:rsidRDefault="000D2EDE" w:rsidP="00F23E59">
            <w:pPr>
              <w:rPr>
                <w:sz w:val="16"/>
                <w:szCs w:val="16"/>
              </w:rPr>
            </w:pPr>
            <w:r>
              <w:rPr>
                <w:sz w:val="16"/>
                <w:szCs w:val="16"/>
              </w:rPr>
              <w:t>Studerande kan läsa bokslutsrapporter och utgående från dem tolka företagets finansiella ställning.</w:t>
            </w:r>
          </w:p>
        </w:tc>
        <w:tc>
          <w:tcPr>
            <w:tcW w:w="2410" w:type="dxa"/>
          </w:tcPr>
          <w:p w:rsidR="007C50AF" w:rsidRPr="00290B98" w:rsidRDefault="000D2EDE" w:rsidP="00F23E59">
            <w:pPr>
              <w:rPr>
                <w:sz w:val="16"/>
                <w:szCs w:val="16"/>
              </w:rPr>
            </w:pPr>
            <w:r>
              <w:rPr>
                <w:sz w:val="16"/>
                <w:szCs w:val="16"/>
              </w:rPr>
              <w:t>Studerande förstår bokslutets innehåll väl och kan tolka den information som bokslutet ger ur många synvinklar.</w:t>
            </w:r>
          </w:p>
        </w:tc>
        <w:tc>
          <w:tcPr>
            <w:tcW w:w="2410" w:type="dxa"/>
          </w:tcPr>
          <w:p w:rsidR="007C50AF" w:rsidRPr="00290B98" w:rsidRDefault="000D2EDE" w:rsidP="00F23E59">
            <w:pPr>
              <w:rPr>
                <w:sz w:val="16"/>
                <w:szCs w:val="16"/>
              </w:rPr>
            </w:pPr>
            <w:r>
              <w:rPr>
                <w:sz w:val="16"/>
                <w:szCs w:val="16"/>
              </w:rPr>
              <w:t>Studerande kan självständigt tolka ett bokslut och kan utgående från detta dra motiverade slutsatser gällande företagets finansiella ställning.</w:t>
            </w:r>
          </w:p>
        </w:tc>
      </w:tr>
      <w:tr w:rsidR="007C50AF" w:rsidRPr="007C50AF" w:rsidTr="00290B98">
        <w:trPr>
          <w:trHeight w:val="1281"/>
        </w:trPr>
        <w:tc>
          <w:tcPr>
            <w:tcW w:w="1985" w:type="dxa"/>
            <w:tcBorders>
              <w:top w:val="nil"/>
              <w:left w:val="nil"/>
              <w:bottom w:val="nil"/>
            </w:tcBorders>
          </w:tcPr>
          <w:p w:rsidR="007C50AF" w:rsidRPr="007C50AF" w:rsidRDefault="000D2EDE" w:rsidP="00F23E59">
            <w:pPr>
              <w:rPr>
                <w:sz w:val="20"/>
                <w:szCs w:val="16"/>
              </w:rPr>
            </w:pPr>
            <w:r>
              <w:rPr>
                <w:sz w:val="20"/>
                <w:szCs w:val="16"/>
              </w:rPr>
              <w:t>Bokslutsanalys</w:t>
            </w:r>
          </w:p>
        </w:tc>
        <w:tc>
          <w:tcPr>
            <w:tcW w:w="2409" w:type="dxa"/>
          </w:tcPr>
          <w:p w:rsidR="007C50AF" w:rsidRPr="00290B98" w:rsidRDefault="000D2EDE" w:rsidP="00F23E59">
            <w:pPr>
              <w:rPr>
                <w:sz w:val="16"/>
                <w:szCs w:val="16"/>
              </w:rPr>
            </w:pPr>
            <w:r>
              <w:rPr>
                <w:sz w:val="16"/>
                <w:szCs w:val="16"/>
              </w:rPr>
              <w:t>Studerande kan utföra enklare justeringar av bokslut och en enklare nyckeltalsanalys samt tolka denna.</w:t>
            </w:r>
          </w:p>
        </w:tc>
        <w:tc>
          <w:tcPr>
            <w:tcW w:w="2410" w:type="dxa"/>
          </w:tcPr>
          <w:p w:rsidR="007C50AF" w:rsidRPr="00290B98" w:rsidRDefault="000D2EDE" w:rsidP="00F23E59">
            <w:pPr>
              <w:rPr>
                <w:sz w:val="16"/>
                <w:szCs w:val="16"/>
              </w:rPr>
            </w:pPr>
            <w:r>
              <w:rPr>
                <w:sz w:val="16"/>
                <w:szCs w:val="16"/>
              </w:rPr>
              <w:t>Studerande kan göra nödvändiga  bokslutsjusteringar inför en nyckeltalsanalys, samt analysera företaget ur många perspektiv med relevanta nyckeltal.</w:t>
            </w:r>
          </w:p>
        </w:tc>
        <w:tc>
          <w:tcPr>
            <w:tcW w:w="2410" w:type="dxa"/>
          </w:tcPr>
          <w:p w:rsidR="007C50AF" w:rsidRPr="00290B98" w:rsidRDefault="001809CF" w:rsidP="00F23E59">
            <w:pPr>
              <w:rPr>
                <w:sz w:val="16"/>
                <w:szCs w:val="16"/>
              </w:rPr>
            </w:pPr>
            <w:r>
              <w:rPr>
                <w:sz w:val="16"/>
                <w:szCs w:val="16"/>
              </w:rPr>
              <w:t>Studerande kan självständigt utföra de bokslutsjusteringar som krävs inför bokslutsanalysen och utgående från relevanta, väl valda nyckeltal analysera företagets likviditet, soliditet och lönsamhet. Studerande förstår de ekonomiska sambanden och kan använda olika styrmodeller i sin analys av företaget.</w:t>
            </w:r>
          </w:p>
        </w:tc>
      </w:tr>
      <w:tr w:rsidR="007C50AF" w:rsidRPr="007C50AF" w:rsidTr="00290B98">
        <w:trPr>
          <w:trHeight w:val="1281"/>
        </w:trPr>
        <w:tc>
          <w:tcPr>
            <w:tcW w:w="1985" w:type="dxa"/>
            <w:tcBorders>
              <w:top w:val="nil"/>
              <w:left w:val="nil"/>
              <w:bottom w:val="nil"/>
            </w:tcBorders>
          </w:tcPr>
          <w:p w:rsidR="007C50AF" w:rsidRPr="007C50AF" w:rsidRDefault="001809CF" w:rsidP="00F23E59">
            <w:pPr>
              <w:rPr>
                <w:sz w:val="20"/>
                <w:szCs w:val="16"/>
              </w:rPr>
            </w:pPr>
            <w:r>
              <w:rPr>
                <w:sz w:val="20"/>
                <w:szCs w:val="16"/>
              </w:rPr>
              <w:t>Finansierings- och kassaflödesanalys</w:t>
            </w:r>
          </w:p>
        </w:tc>
        <w:tc>
          <w:tcPr>
            <w:tcW w:w="2409" w:type="dxa"/>
          </w:tcPr>
          <w:p w:rsidR="007C50AF" w:rsidRPr="00290B98" w:rsidRDefault="001809CF" w:rsidP="001809CF">
            <w:pPr>
              <w:rPr>
                <w:sz w:val="16"/>
                <w:szCs w:val="16"/>
              </w:rPr>
            </w:pPr>
            <w:r>
              <w:rPr>
                <w:sz w:val="16"/>
                <w:szCs w:val="16"/>
              </w:rPr>
              <w:t>Studerande förstår  företagets kapitalanvändning och kapitalkällor.</w:t>
            </w:r>
          </w:p>
        </w:tc>
        <w:tc>
          <w:tcPr>
            <w:tcW w:w="2410" w:type="dxa"/>
          </w:tcPr>
          <w:p w:rsidR="007C50AF" w:rsidRPr="00290B98" w:rsidRDefault="001809CF" w:rsidP="00F23E59">
            <w:pPr>
              <w:rPr>
                <w:sz w:val="16"/>
                <w:szCs w:val="16"/>
              </w:rPr>
            </w:pPr>
            <w:r>
              <w:rPr>
                <w:sz w:val="16"/>
                <w:szCs w:val="16"/>
              </w:rPr>
              <w:t>Studerande kan förklara samt uppgöra enklare kassaflödes- och finansieringsanalyser.</w:t>
            </w:r>
          </w:p>
        </w:tc>
        <w:tc>
          <w:tcPr>
            <w:tcW w:w="2410" w:type="dxa"/>
          </w:tcPr>
          <w:p w:rsidR="007C50AF" w:rsidRPr="00290B98" w:rsidRDefault="001809CF" w:rsidP="001809CF">
            <w:pPr>
              <w:rPr>
                <w:sz w:val="16"/>
                <w:szCs w:val="16"/>
              </w:rPr>
            </w:pPr>
            <w:r>
              <w:rPr>
                <w:sz w:val="16"/>
                <w:szCs w:val="16"/>
              </w:rPr>
              <w:t>Studerande kan uppgöra kassaflödes- och finansieringsanalyser för företaget samt tolka och förklara innebörden av dessa.</w:t>
            </w:r>
          </w:p>
        </w:tc>
      </w:tr>
    </w:tbl>
    <w:p w:rsidR="007C50AF" w:rsidRPr="00DB2ED7" w:rsidRDefault="007C50AF" w:rsidP="00F23E59">
      <w:pPr>
        <w:rPr>
          <w:sz w:val="16"/>
          <w:szCs w:val="16"/>
          <w:u w:val="single"/>
        </w:rPr>
      </w:pPr>
    </w:p>
    <w:sectPr w:rsidR="007C50AF" w:rsidRPr="00DB2ED7" w:rsidSect="00A80799">
      <w:footerReference w:type="default" r:id="rId8"/>
      <w:pgSz w:w="11906" w:h="16838"/>
      <w:pgMar w:top="851" w:right="566"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12E" w:rsidRDefault="0070412E" w:rsidP="008A7EBD">
      <w:pPr>
        <w:spacing w:after="0" w:line="240" w:lineRule="auto"/>
      </w:pPr>
      <w:r>
        <w:separator/>
      </w:r>
    </w:p>
  </w:endnote>
  <w:endnote w:type="continuationSeparator" w:id="0">
    <w:p w:rsidR="0070412E" w:rsidRDefault="0070412E" w:rsidP="008A7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2476"/>
      <w:gridCol w:w="2477"/>
      <w:gridCol w:w="2476"/>
      <w:gridCol w:w="2471"/>
    </w:tblGrid>
    <w:tr w:rsidR="00A80799" w:rsidTr="00A80799">
      <w:trPr>
        <w:trHeight w:val="148"/>
      </w:trPr>
      <w:tc>
        <w:tcPr>
          <w:tcW w:w="2510" w:type="dxa"/>
          <w:tcBorders>
            <w:top w:val="nil"/>
            <w:left w:val="nil"/>
            <w:bottom w:val="single" w:sz="12" w:space="0" w:color="auto"/>
            <w:right w:val="nil"/>
          </w:tcBorders>
        </w:tcPr>
        <w:p w:rsidR="00A80799" w:rsidRPr="00A80799" w:rsidRDefault="00A80799" w:rsidP="00E97006">
          <w:pPr>
            <w:pStyle w:val="Footer"/>
            <w:rPr>
              <w:u w:val="single"/>
            </w:rPr>
          </w:pPr>
        </w:p>
      </w:tc>
      <w:tc>
        <w:tcPr>
          <w:tcW w:w="2510" w:type="dxa"/>
          <w:tcBorders>
            <w:top w:val="nil"/>
            <w:left w:val="nil"/>
            <w:bottom w:val="single" w:sz="12" w:space="0" w:color="auto"/>
            <w:right w:val="nil"/>
          </w:tcBorders>
        </w:tcPr>
        <w:p w:rsidR="00A80799" w:rsidRDefault="00A80799" w:rsidP="00E97006">
          <w:pPr>
            <w:pStyle w:val="Footer"/>
          </w:pPr>
        </w:p>
      </w:tc>
      <w:tc>
        <w:tcPr>
          <w:tcW w:w="2510" w:type="dxa"/>
          <w:tcBorders>
            <w:top w:val="nil"/>
            <w:left w:val="nil"/>
            <w:bottom w:val="single" w:sz="12" w:space="0" w:color="auto"/>
            <w:right w:val="nil"/>
          </w:tcBorders>
        </w:tcPr>
        <w:p w:rsidR="00A80799" w:rsidRDefault="00A80799" w:rsidP="00E97006">
          <w:pPr>
            <w:pStyle w:val="Footer"/>
          </w:pPr>
        </w:p>
      </w:tc>
      <w:tc>
        <w:tcPr>
          <w:tcW w:w="2510" w:type="dxa"/>
          <w:tcBorders>
            <w:top w:val="nil"/>
            <w:left w:val="nil"/>
            <w:bottom w:val="single" w:sz="12" w:space="0" w:color="auto"/>
            <w:right w:val="nil"/>
          </w:tcBorders>
        </w:tcPr>
        <w:p w:rsidR="00A80799" w:rsidRDefault="00A80799" w:rsidP="00E97006">
          <w:pPr>
            <w:pStyle w:val="Footer"/>
          </w:pPr>
        </w:p>
      </w:tc>
    </w:tr>
    <w:tr w:rsidR="00A80799" w:rsidTr="00A80799">
      <w:trPr>
        <w:trHeight w:val="436"/>
      </w:trPr>
      <w:tc>
        <w:tcPr>
          <w:tcW w:w="2510" w:type="dxa"/>
          <w:tcBorders>
            <w:top w:val="single" w:sz="12" w:space="0" w:color="auto"/>
            <w:left w:val="nil"/>
            <w:bottom w:val="single" w:sz="4" w:space="0" w:color="auto"/>
            <w:right w:val="nil"/>
          </w:tcBorders>
          <w:vAlign w:val="center"/>
        </w:tcPr>
        <w:p w:rsidR="00A80799" w:rsidRDefault="00A80799" w:rsidP="00A80799">
          <w:pPr>
            <w:pStyle w:val="Footer"/>
          </w:pPr>
          <w:r w:rsidRPr="008A7EBD">
            <w:rPr>
              <w:sz w:val="16"/>
              <w:szCs w:val="16"/>
            </w:rPr>
            <w:t>Uppgjord av</w:t>
          </w:r>
        </w:p>
      </w:tc>
      <w:tc>
        <w:tcPr>
          <w:tcW w:w="2510" w:type="dxa"/>
          <w:tcBorders>
            <w:top w:val="single" w:sz="12" w:space="0" w:color="auto"/>
            <w:left w:val="nil"/>
            <w:bottom w:val="single" w:sz="4" w:space="0" w:color="auto"/>
            <w:right w:val="nil"/>
          </w:tcBorders>
          <w:vAlign w:val="center"/>
        </w:tcPr>
        <w:p w:rsidR="00A80799" w:rsidRDefault="00A80799" w:rsidP="00FC2355">
          <w:pPr>
            <w:pStyle w:val="Footer"/>
          </w:pPr>
          <w:r w:rsidRPr="008A7EBD">
            <w:rPr>
              <w:sz w:val="16"/>
              <w:szCs w:val="16"/>
            </w:rPr>
            <w:t>Kontrollerad av:</w:t>
          </w:r>
        </w:p>
      </w:tc>
      <w:tc>
        <w:tcPr>
          <w:tcW w:w="2510" w:type="dxa"/>
          <w:tcBorders>
            <w:top w:val="single" w:sz="12" w:space="0" w:color="auto"/>
            <w:left w:val="nil"/>
            <w:bottom w:val="single" w:sz="4" w:space="0" w:color="auto"/>
            <w:right w:val="nil"/>
          </w:tcBorders>
          <w:vAlign w:val="center"/>
        </w:tcPr>
        <w:p w:rsidR="00A80799" w:rsidRDefault="00A80799" w:rsidP="00FC2355">
          <w:pPr>
            <w:pStyle w:val="Footer"/>
          </w:pPr>
          <w:r>
            <w:rPr>
              <w:sz w:val="16"/>
              <w:szCs w:val="16"/>
            </w:rPr>
            <w:t xml:space="preserve">Godkänd </w:t>
          </w:r>
          <w:r w:rsidRPr="008A7EBD">
            <w:rPr>
              <w:sz w:val="16"/>
              <w:szCs w:val="16"/>
            </w:rPr>
            <w:t>av:</w:t>
          </w:r>
        </w:p>
      </w:tc>
      <w:tc>
        <w:tcPr>
          <w:tcW w:w="2510" w:type="dxa"/>
          <w:tcBorders>
            <w:top w:val="single" w:sz="12" w:space="0" w:color="auto"/>
            <w:left w:val="nil"/>
            <w:bottom w:val="single" w:sz="4" w:space="0" w:color="auto"/>
            <w:right w:val="nil"/>
          </w:tcBorders>
          <w:vAlign w:val="center"/>
        </w:tcPr>
        <w:p w:rsidR="00A80799" w:rsidRDefault="00A80799" w:rsidP="00A80799">
          <w:pPr>
            <w:pStyle w:val="Footer"/>
          </w:pPr>
          <w:r w:rsidRPr="008A7EBD">
            <w:rPr>
              <w:sz w:val="16"/>
              <w:szCs w:val="16"/>
            </w:rPr>
            <w:t>Giltig i läroplan</w:t>
          </w:r>
        </w:p>
      </w:tc>
    </w:tr>
    <w:tr w:rsidR="00A80799" w:rsidTr="00A80799">
      <w:tc>
        <w:tcPr>
          <w:tcW w:w="2510" w:type="dxa"/>
          <w:tcBorders>
            <w:top w:val="single" w:sz="4" w:space="0" w:color="auto"/>
            <w:left w:val="nil"/>
            <w:bottom w:val="nil"/>
            <w:right w:val="nil"/>
          </w:tcBorders>
        </w:tcPr>
        <w:p w:rsidR="00A80799" w:rsidRDefault="000F6646" w:rsidP="000F6646">
          <w:pPr>
            <w:pStyle w:val="Footer"/>
          </w:pPr>
          <w:r>
            <w:rPr>
              <w:sz w:val="16"/>
            </w:rPr>
            <w:t>NN</w:t>
          </w:r>
          <w:r w:rsidR="009B1DD9">
            <w:rPr>
              <w:sz w:val="16"/>
            </w:rPr>
            <w:t xml:space="preserve"> </w:t>
          </w:r>
          <w:proofErr w:type="spellStart"/>
          <w:r>
            <w:rPr>
              <w:sz w:val="16"/>
            </w:rPr>
            <w:t>dd.mm</w:t>
          </w:r>
          <w:r w:rsidR="009B1DD9">
            <w:rPr>
              <w:sz w:val="16"/>
            </w:rPr>
            <w:t>.</w:t>
          </w:r>
          <w:r>
            <w:rPr>
              <w:sz w:val="16"/>
            </w:rPr>
            <w:t>yyyy</w:t>
          </w:r>
          <w:proofErr w:type="spellEnd"/>
        </w:p>
      </w:tc>
      <w:tc>
        <w:tcPr>
          <w:tcW w:w="2510" w:type="dxa"/>
          <w:tcBorders>
            <w:top w:val="single" w:sz="4" w:space="0" w:color="auto"/>
            <w:left w:val="nil"/>
            <w:bottom w:val="nil"/>
            <w:right w:val="nil"/>
          </w:tcBorders>
        </w:tcPr>
        <w:p w:rsidR="00A80799" w:rsidRDefault="000F6646" w:rsidP="00924320">
          <w:pPr>
            <w:pStyle w:val="Footer"/>
          </w:pPr>
          <w:r>
            <w:rPr>
              <w:sz w:val="16"/>
            </w:rPr>
            <w:t xml:space="preserve">NN </w:t>
          </w:r>
          <w:proofErr w:type="spellStart"/>
          <w:r>
            <w:rPr>
              <w:sz w:val="16"/>
            </w:rPr>
            <w:t>dd.mm.yyyy</w:t>
          </w:r>
          <w:proofErr w:type="spellEnd"/>
        </w:p>
      </w:tc>
      <w:tc>
        <w:tcPr>
          <w:tcW w:w="2510" w:type="dxa"/>
          <w:tcBorders>
            <w:top w:val="single" w:sz="4" w:space="0" w:color="auto"/>
            <w:left w:val="nil"/>
            <w:bottom w:val="nil"/>
            <w:right w:val="nil"/>
          </w:tcBorders>
        </w:tcPr>
        <w:p w:rsidR="00A80799" w:rsidRDefault="000F6646" w:rsidP="00924320">
          <w:pPr>
            <w:pStyle w:val="Footer"/>
          </w:pPr>
          <w:r>
            <w:rPr>
              <w:sz w:val="16"/>
            </w:rPr>
            <w:t xml:space="preserve">NN </w:t>
          </w:r>
          <w:proofErr w:type="spellStart"/>
          <w:r>
            <w:rPr>
              <w:sz w:val="16"/>
            </w:rPr>
            <w:t>dd.mm.yyyy</w:t>
          </w:r>
          <w:proofErr w:type="spellEnd"/>
        </w:p>
      </w:tc>
      <w:tc>
        <w:tcPr>
          <w:tcW w:w="2510" w:type="dxa"/>
          <w:tcBorders>
            <w:top w:val="single" w:sz="4" w:space="0" w:color="auto"/>
            <w:left w:val="nil"/>
            <w:bottom w:val="nil"/>
            <w:right w:val="nil"/>
          </w:tcBorders>
        </w:tcPr>
        <w:p w:rsidR="00A80799" w:rsidRDefault="00924320" w:rsidP="000F6646">
          <w:pPr>
            <w:pStyle w:val="Footer"/>
          </w:pPr>
          <w:r>
            <w:rPr>
              <w:sz w:val="16"/>
              <w:szCs w:val="16"/>
            </w:rPr>
            <w:t xml:space="preserve"> </w:t>
          </w:r>
          <w:r w:rsidR="00A80799">
            <w:rPr>
              <w:sz w:val="16"/>
              <w:szCs w:val="16"/>
            </w:rPr>
            <w:t>201</w:t>
          </w:r>
          <w:r w:rsidR="000F6646">
            <w:rPr>
              <w:sz w:val="16"/>
              <w:szCs w:val="16"/>
            </w:rPr>
            <w:t>8</w:t>
          </w:r>
        </w:p>
      </w:tc>
    </w:tr>
  </w:tbl>
  <w:p w:rsidR="00A80799" w:rsidRPr="00E97006" w:rsidRDefault="00A80799" w:rsidP="00E970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12E" w:rsidRDefault="0070412E" w:rsidP="008A7EBD">
      <w:pPr>
        <w:spacing w:after="0" w:line="240" w:lineRule="auto"/>
      </w:pPr>
      <w:r>
        <w:separator/>
      </w:r>
    </w:p>
  </w:footnote>
  <w:footnote w:type="continuationSeparator" w:id="0">
    <w:p w:rsidR="0070412E" w:rsidRDefault="0070412E" w:rsidP="008A7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C4CB1"/>
    <w:multiLevelType w:val="hybridMultilevel"/>
    <w:tmpl w:val="BFBAF8FE"/>
    <w:lvl w:ilvl="0" w:tplc="D5DCE1A2">
      <w:start w:val="1"/>
      <w:numFmt w:val="bullet"/>
      <w:lvlText w:val=""/>
      <w:lvlJc w:val="left"/>
      <w:pPr>
        <w:tabs>
          <w:tab w:val="num" w:pos="720"/>
        </w:tabs>
        <w:ind w:left="720" w:hanging="360"/>
      </w:pPr>
      <w:rPr>
        <w:rFonts w:ascii="Wingdings" w:hAnsi="Wingdings" w:hint="default"/>
      </w:rPr>
    </w:lvl>
    <w:lvl w:ilvl="1" w:tplc="90D25D18" w:tentative="1">
      <w:start w:val="1"/>
      <w:numFmt w:val="bullet"/>
      <w:lvlText w:val=""/>
      <w:lvlJc w:val="left"/>
      <w:pPr>
        <w:tabs>
          <w:tab w:val="num" w:pos="1440"/>
        </w:tabs>
        <w:ind w:left="1440" w:hanging="360"/>
      </w:pPr>
      <w:rPr>
        <w:rFonts w:ascii="Wingdings" w:hAnsi="Wingdings" w:hint="default"/>
      </w:rPr>
    </w:lvl>
    <w:lvl w:ilvl="2" w:tplc="DC265ECC" w:tentative="1">
      <w:start w:val="1"/>
      <w:numFmt w:val="bullet"/>
      <w:lvlText w:val=""/>
      <w:lvlJc w:val="left"/>
      <w:pPr>
        <w:tabs>
          <w:tab w:val="num" w:pos="2160"/>
        </w:tabs>
        <w:ind w:left="2160" w:hanging="360"/>
      </w:pPr>
      <w:rPr>
        <w:rFonts w:ascii="Wingdings" w:hAnsi="Wingdings" w:hint="default"/>
      </w:rPr>
    </w:lvl>
    <w:lvl w:ilvl="3" w:tplc="2C3A077C" w:tentative="1">
      <w:start w:val="1"/>
      <w:numFmt w:val="bullet"/>
      <w:lvlText w:val=""/>
      <w:lvlJc w:val="left"/>
      <w:pPr>
        <w:tabs>
          <w:tab w:val="num" w:pos="2880"/>
        </w:tabs>
        <w:ind w:left="2880" w:hanging="360"/>
      </w:pPr>
      <w:rPr>
        <w:rFonts w:ascii="Wingdings" w:hAnsi="Wingdings" w:hint="default"/>
      </w:rPr>
    </w:lvl>
    <w:lvl w:ilvl="4" w:tplc="70A01728" w:tentative="1">
      <w:start w:val="1"/>
      <w:numFmt w:val="bullet"/>
      <w:lvlText w:val=""/>
      <w:lvlJc w:val="left"/>
      <w:pPr>
        <w:tabs>
          <w:tab w:val="num" w:pos="3600"/>
        </w:tabs>
        <w:ind w:left="3600" w:hanging="360"/>
      </w:pPr>
      <w:rPr>
        <w:rFonts w:ascii="Wingdings" w:hAnsi="Wingdings" w:hint="default"/>
      </w:rPr>
    </w:lvl>
    <w:lvl w:ilvl="5" w:tplc="A132AD84" w:tentative="1">
      <w:start w:val="1"/>
      <w:numFmt w:val="bullet"/>
      <w:lvlText w:val=""/>
      <w:lvlJc w:val="left"/>
      <w:pPr>
        <w:tabs>
          <w:tab w:val="num" w:pos="4320"/>
        </w:tabs>
        <w:ind w:left="4320" w:hanging="360"/>
      </w:pPr>
      <w:rPr>
        <w:rFonts w:ascii="Wingdings" w:hAnsi="Wingdings" w:hint="default"/>
      </w:rPr>
    </w:lvl>
    <w:lvl w:ilvl="6" w:tplc="12EA03E0" w:tentative="1">
      <w:start w:val="1"/>
      <w:numFmt w:val="bullet"/>
      <w:lvlText w:val=""/>
      <w:lvlJc w:val="left"/>
      <w:pPr>
        <w:tabs>
          <w:tab w:val="num" w:pos="5040"/>
        </w:tabs>
        <w:ind w:left="5040" w:hanging="360"/>
      </w:pPr>
      <w:rPr>
        <w:rFonts w:ascii="Wingdings" w:hAnsi="Wingdings" w:hint="default"/>
      </w:rPr>
    </w:lvl>
    <w:lvl w:ilvl="7" w:tplc="0FF0BBB8" w:tentative="1">
      <w:start w:val="1"/>
      <w:numFmt w:val="bullet"/>
      <w:lvlText w:val=""/>
      <w:lvlJc w:val="left"/>
      <w:pPr>
        <w:tabs>
          <w:tab w:val="num" w:pos="5760"/>
        </w:tabs>
        <w:ind w:left="5760" w:hanging="360"/>
      </w:pPr>
      <w:rPr>
        <w:rFonts w:ascii="Wingdings" w:hAnsi="Wingdings" w:hint="default"/>
      </w:rPr>
    </w:lvl>
    <w:lvl w:ilvl="8" w:tplc="157EF2B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B21EFA"/>
    <w:multiLevelType w:val="hybridMultilevel"/>
    <w:tmpl w:val="349A5108"/>
    <w:lvl w:ilvl="0" w:tplc="24E02E74">
      <w:start w:val="1"/>
      <w:numFmt w:val="bullet"/>
      <w:lvlText w:val=""/>
      <w:lvlJc w:val="left"/>
      <w:pPr>
        <w:tabs>
          <w:tab w:val="num" w:pos="720"/>
        </w:tabs>
        <w:ind w:left="720" w:hanging="360"/>
      </w:pPr>
      <w:rPr>
        <w:rFonts w:ascii="Wingdings" w:hAnsi="Wingdings" w:hint="default"/>
      </w:rPr>
    </w:lvl>
    <w:lvl w:ilvl="1" w:tplc="83D4C0FE" w:tentative="1">
      <w:start w:val="1"/>
      <w:numFmt w:val="bullet"/>
      <w:lvlText w:val=""/>
      <w:lvlJc w:val="left"/>
      <w:pPr>
        <w:tabs>
          <w:tab w:val="num" w:pos="1440"/>
        </w:tabs>
        <w:ind w:left="1440" w:hanging="360"/>
      </w:pPr>
      <w:rPr>
        <w:rFonts w:ascii="Wingdings" w:hAnsi="Wingdings" w:hint="default"/>
      </w:rPr>
    </w:lvl>
    <w:lvl w:ilvl="2" w:tplc="7FB23888" w:tentative="1">
      <w:start w:val="1"/>
      <w:numFmt w:val="bullet"/>
      <w:lvlText w:val=""/>
      <w:lvlJc w:val="left"/>
      <w:pPr>
        <w:tabs>
          <w:tab w:val="num" w:pos="2160"/>
        </w:tabs>
        <w:ind w:left="2160" w:hanging="360"/>
      </w:pPr>
      <w:rPr>
        <w:rFonts w:ascii="Wingdings" w:hAnsi="Wingdings" w:hint="default"/>
      </w:rPr>
    </w:lvl>
    <w:lvl w:ilvl="3" w:tplc="31D41CC2" w:tentative="1">
      <w:start w:val="1"/>
      <w:numFmt w:val="bullet"/>
      <w:lvlText w:val=""/>
      <w:lvlJc w:val="left"/>
      <w:pPr>
        <w:tabs>
          <w:tab w:val="num" w:pos="2880"/>
        </w:tabs>
        <w:ind w:left="2880" w:hanging="360"/>
      </w:pPr>
      <w:rPr>
        <w:rFonts w:ascii="Wingdings" w:hAnsi="Wingdings" w:hint="default"/>
      </w:rPr>
    </w:lvl>
    <w:lvl w:ilvl="4" w:tplc="B68464A6" w:tentative="1">
      <w:start w:val="1"/>
      <w:numFmt w:val="bullet"/>
      <w:lvlText w:val=""/>
      <w:lvlJc w:val="left"/>
      <w:pPr>
        <w:tabs>
          <w:tab w:val="num" w:pos="3600"/>
        </w:tabs>
        <w:ind w:left="3600" w:hanging="360"/>
      </w:pPr>
      <w:rPr>
        <w:rFonts w:ascii="Wingdings" w:hAnsi="Wingdings" w:hint="default"/>
      </w:rPr>
    </w:lvl>
    <w:lvl w:ilvl="5" w:tplc="8D42969C" w:tentative="1">
      <w:start w:val="1"/>
      <w:numFmt w:val="bullet"/>
      <w:lvlText w:val=""/>
      <w:lvlJc w:val="left"/>
      <w:pPr>
        <w:tabs>
          <w:tab w:val="num" w:pos="4320"/>
        </w:tabs>
        <w:ind w:left="4320" w:hanging="360"/>
      </w:pPr>
      <w:rPr>
        <w:rFonts w:ascii="Wingdings" w:hAnsi="Wingdings" w:hint="default"/>
      </w:rPr>
    </w:lvl>
    <w:lvl w:ilvl="6" w:tplc="6598FE30" w:tentative="1">
      <w:start w:val="1"/>
      <w:numFmt w:val="bullet"/>
      <w:lvlText w:val=""/>
      <w:lvlJc w:val="left"/>
      <w:pPr>
        <w:tabs>
          <w:tab w:val="num" w:pos="5040"/>
        </w:tabs>
        <w:ind w:left="5040" w:hanging="360"/>
      </w:pPr>
      <w:rPr>
        <w:rFonts w:ascii="Wingdings" w:hAnsi="Wingdings" w:hint="default"/>
      </w:rPr>
    </w:lvl>
    <w:lvl w:ilvl="7" w:tplc="354CEAB8" w:tentative="1">
      <w:start w:val="1"/>
      <w:numFmt w:val="bullet"/>
      <w:lvlText w:val=""/>
      <w:lvlJc w:val="left"/>
      <w:pPr>
        <w:tabs>
          <w:tab w:val="num" w:pos="5760"/>
        </w:tabs>
        <w:ind w:left="5760" w:hanging="360"/>
      </w:pPr>
      <w:rPr>
        <w:rFonts w:ascii="Wingdings" w:hAnsi="Wingdings" w:hint="default"/>
      </w:rPr>
    </w:lvl>
    <w:lvl w:ilvl="8" w:tplc="51C8E9A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3451EE"/>
    <w:multiLevelType w:val="hybridMultilevel"/>
    <w:tmpl w:val="2310785C"/>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3" w15:restartNumberingAfterBreak="0">
    <w:nsid w:val="62325C42"/>
    <w:multiLevelType w:val="hybridMultilevel"/>
    <w:tmpl w:val="FC62E2EE"/>
    <w:lvl w:ilvl="0" w:tplc="A55C5E7A">
      <w:start w:val="2014"/>
      <w:numFmt w:val="bullet"/>
      <w:lvlText w:val="-"/>
      <w:lvlJc w:val="left"/>
      <w:pPr>
        <w:ind w:left="720" w:hanging="360"/>
      </w:pPr>
      <w:rPr>
        <w:rFonts w:ascii="Calibri" w:eastAsiaTheme="minorHAnsi" w:hAnsi="Calibri" w:cstheme="minorBid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4" w15:restartNumberingAfterBreak="0">
    <w:nsid w:val="78524088"/>
    <w:multiLevelType w:val="hybridMultilevel"/>
    <w:tmpl w:val="1E46A3E0"/>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5" w15:restartNumberingAfterBreak="0">
    <w:nsid w:val="7C28659F"/>
    <w:multiLevelType w:val="hybridMultilevel"/>
    <w:tmpl w:val="DA4E9D16"/>
    <w:lvl w:ilvl="0" w:tplc="EB605652">
      <w:start w:val="3"/>
      <w:numFmt w:val="bullet"/>
      <w:lvlText w:val="-"/>
      <w:lvlJc w:val="left"/>
      <w:pPr>
        <w:ind w:left="720" w:hanging="360"/>
      </w:pPr>
      <w:rPr>
        <w:rFonts w:ascii="Calibri" w:eastAsiaTheme="minorHAnsi" w:hAnsi="Calibri" w:cstheme="minorBid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4BD"/>
    <w:rsid w:val="00013B4F"/>
    <w:rsid w:val="00021A87"/>
    <w:rsid w:val="00030FF6"/>
    <w:rsid w:val="000311E0"/>
    <w:rsid w:val="00036C93"/>
    <w:rsid w:val="000533FE"/>
    <w:rsid w:val="000A14BD"/>
    <w:rsid w:val="000D2EDE"/>
    <w:rsid w:val="000F6646"/>
    <w:rsid w:val="00110D5C"/>
    <w:rsid w:val="00111C03"/>
    <w:rsid w:val="001133B5"/>
    <w:rsid w:val="00140798"/>
    <w:rsid w:val="00156596"/>
    <w:rsid w:val="001809CF"/>
    <w:rsid w:val="00187162"/>
    <w:rsid w:val="0019432B"/>
    <w:rsid w:val="001A089C"/>
    <w:rsid w:val="001A73BA"/>
    <w:rsid w:val="001C5749"/>
    <w:rsid w:val="001D28E8"/>
    <w:rsid w:val="001D4D02"/>
    <w:rsid w:val="001D58A1"/>
    <w:rsid w:val="002613A0"/>
    <w:rsid w:val="002614E7"/>
    <w:rsid w:val="00290B98"/>
    <w:rsid w:val="002C18BA"/>
    <w:rsid w:val="002C4D52"/>
    <w:rsid w:val="002D2F48"/>
    <w:rsid w:val="002D5571"/>
    <w:rsid w:val="002F4B89"/>
    <w:rsid w:val="002F797A"/>
    <w:rsid w:val="00340AFA"/>
    <w:rsid w:val="00386345"/>
    <w:rsid w:val="003C2A97"/>
    <w:rsid w:val="003C4CF7"/>
    <w:rsid w:val="003C4E61"/>
    <w:rsid w:val="0044747A"/>
    <w:rsid w:val="00456595"/>
    <w:rsid w:val="00456EA0"/>
    <w:rsid w:val="004658BF"/>
    <w:rsid w:val="00471AFD"/>
    <w:rsid w:val="00497098"/>
    <w:rsid w:val="004A6725"/>
    <w:rsid w:val="004B0420"/>
    <w:rsid w:val="004C036A"/>
    <w:rsid w:val="004C759D"/>
    <w:rsid w:val="004D01C5"/>
    <w:rsid w:val="005057B5"/>
    <w:rsid w:val="0050612F"/>
    <w:rsid w:val="0051484C"/>
    <w:rsid w:val="00525C42"/>
    <w:rsid w:val="00567304"/>
    <w:rsid w:val="00582696"/>
    <w:rsid w:val="00585D6B"/>
    <w:rsid w:val="0059493F"/>
    <w:rsid w:val="005A7626"/>
    <w:rsid w:val="005B11AD"/>
    <w:rsid w:val="005C42FC"/>
    <w:rsid w:val="00602190"/>
    <w:rsid w:val="00615CFA"/>
    <w:rsid w:val="00620DB5"/>
    <w:rsid w:val="00645801"/>
    <w:rsid w:val="00673814"/>
    <w:rsid w:val="00674A20"/>
    <w:rsid w:val="006E6FC0"/>
    <w:rsid w:val="006F2AB8"/>
    <w:rsid w:val="0070412E"/>
    <w:rsid w:val="0070553D"/>
    <w:rsid w:val="00747B68"/>
    <w:rsid w:val="0077062A"/>
    <w:rsid w:val="00773114"/>
    <w:rsid w:val="007C4791"/>
    <w:rsid w:val="007C50AF"/>
    <w:rsid w:val="00836336"/>
    <w:rsid w:val="00877C7B"/>
    <w:rsid w:val="008A1833"/>
    <w:rsid w:val="008A7EBD"/>
    <w:rsid w:val="008D1310"/>
    <w:rsid w:val="008D66F8"/>
    <w:rsid w:val="0091399C"/>
    <w:rsid w:val="00924320"/>
    <w:rsid w:val="00935847"/>
    <w:rsid w:val="00970DF8"/>
    <w:rsid w:val="00981DDD"/>
    <w:rsid w:val="00982799"/>
    <w:rsid w:val="0099493B"/>
    <w:rsid w:val="009A4DD6"/>
    <w:rsid w:val="009B1DD9"/>
    <w:rsid w:val="009B6F66"/>
    <w:rsid w:val="00A21473"/>
    <w:rsid w:val="00A4093C"/>
    <w:rsid w:val="00A5695B"/>
    <w:rsid w:val="00A761FB"/>
    <w:rsid w:val="00A8040F"/>
    <w:rsid w:val="00A80799"/>
    <w:rsid w:val="00AD5D90"/>
    <w:rsid w:val="00B31953"/>
    <w:rsid w:val="00B57DB6"/>
    <w:rsid w:val="00C03F72"/>
    <w:rsid w:val="00C10FA3"/>
    <w:rsid w:val="00C2587B"/>
    <w:rsid w:val="00C51AB6"/>
    <w:rsid w:val="00C56AEC"/>
    <w:rsid w:val="00C751ED"/>
    <w:rsid w:val="00C836DE"/>
    <w:rsid w:val="00C94F21"/>
    <w:rsid w:val="00C966CE"/>
    <w:rsid w:val="00D01E81"/>
    <w:rsid w:val="00D031FA"/>
    <w:rsid w:val="00D30CBA"/>
    <w:rsid w:val="00D3200F"/>
    <w:rsid w:val="00D3365B"/>
    <w:rsid w:val="00D46B09"/>
    <w:rsid w:val="00DB1433"/>
    <w:rsid w:val="00DB2ED7"/>
    <w:rsid w:val="00DB5127"/>
    <w:rsid w:val="00DC0F9A"/>
    <w:rsid w:val="00DD3AFC"/>
    <w:rsid w:val="00DF6B1F"/>
    <w:rsid w:val="00E1367F"/>
    <w:rsid w:val="00E24063"/>
    <w:rsid w:val="00E4493E"/>
    <w:rsid w:val="00E46835"/>
    <w:rsid w:val="00E50DA9"/>
    <w:rsid w:val="00E70D12"/>
    <w:rsid w:val="00E90D4F"/>
    <w:rsid w:val="00E97006"/>
    <w:rsid w:val="00EF6564"/>
    <w:rsid w:val="00F23E59"/>
    <w:rsid w:val="00F409F7"/>
    <w:rsid w:val="00F51131"/>
    <w:rsid w:val="00F55472"/>
    <w:rsid w:val="00F671D8"/>
    <w:rsid w:val="00F730CD"/>
    <w:rsid w:val="00F91D24"/>
    <w:rsid w:val="00FC2355"/>
    <w:rsid w:val="00FE34CA"/>
  </w:rsids>
  <m:mathPr>
    <m:mathFont m:val="Cambria Math"/>
    <m:brkBin m:val="before"/>
    <m:brkBinSub m:val="--"/>
    <m:smallFrac m:val="0"/>
    <m:dispDef/>
    <m:lMargin m:val="0"/>
    <m:rMargin m:val="0"/>
    <m:defJc m:val="centerGroup"/>
    <m:wrapIndent m:val="1440"/>
    <m:intLim m:val="subSup"/>
    <m:naryLim m:val="undOvr"/>
  </m:mathPr>
  <w:themeFontLang w:val="sv-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EB142B"/>
  <w15:docId w15:val="{4C71BFF6-890B-4F27-9B6C-3047202B6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7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67F"/>
    <w:pPr>
      <w:ind w:left="720"/>
      <w:contextualSpacing/>
    </w:pPr>
  </w:style>
  <w:style w:type="character" w:styleId="CommentReference">
    <w:name w:val="annotation reference"/>
    <w:basedOn w:val="DefaultParagraphFont"/>
    <w:uiPriority w:val="99"/>
    <w:semiHidden/>
    <w:unhideWhenUsed/>
    <w:rsid w:val="00E1367F"/>
    <w:rPr>
      <w:sz w:val="16"/>
      <w:szCs w:val="16"/>
    </w:rPr>
  </w:style>
  <w:style w:type="paragraph" w:styleId="CommentText">
    <w:name w:val="annotation text"/>
    <w:basedOn w:val="Normal"/>
    <w:link w:val="CommentTextChar"/>
    <w:uiPriority w:val="99"/>
    <w:semiHidden/>
    <w:unhideWhenUsed/>
    <w:rsid w:val="00E1367F"/>
    <w:pPr>
      <w:spacing w:line="240" w:lineRule="auto"/>
    </w:pPr>
    <w:rPr>
      <w:sz w:val="20"/>
      <w:szCs w:val="20"/>
    </w:rPr>
  </w:style>
  <w:style w:type="character" w:customStyle="1" w:styleId="CommentTextChar">
    <w:name w:val="Comment Text Char"/>
    <w:basedOn w:val="DefaultParagraphFont"/>
    <w:link w:val="CommentText"/>
    <w:uiPriority w:val="99"/>
    <w:semiHidden/>
    <w:rsid w:val="00E1367F"/>
    <w:rPr>
      <w:sz w:val="20"/>
      <w:szCs w:val="20"/>
    </w:rPr>
  </w:style>
  <w:style w:type="paragraph" w:styleId="CommentSubject">
    <w:name w:val="annotation subject"/>
    <w:basedOn w:val="CommentText"/>
    <w:next w:val="CommentText"/>
    <w:link w:val="CommentSubjectChar"/>
    <w:uiPriority w:val="99"/>
    <w:semiHidden/>
    <w:unhideWhenUsed/>
    <w:rsid w:val="00E1367F"/>
    <w:rPr>
      <w:b/>
      <w:bCs/>
    </w:rPr>
  </w:style>
  <w:style w:type="character" w:customStyle="1" w:styleId="CommentSubjectChar">
    <w:name w:val="Comment Subject Char"/>
    <w:basedOn w:val="CommentTextChar"/>
    <w:link w:val="CommentSubject"/>
    <w:uiPriority w:val="99"/>
    <w:semiHidden/>
    <w:rsid w:val="00E1367F"/>
    <w:rPr>
      <w:b/>
      <w:bCs/>
      <w:sz w:val="20"/>
      <w:szCs w:val="20"/>
    </w:rPr>
  </w:style>
  <w:style w:type="paragraph" w:styleId="BalloonText">
    <w:name w:val="Balloon Text"/>
    <w:basedOn w:val="Normal"/>
    <w:link w:val="BalloonTextChar"/>
    <w:uiPriority w:val="99"/>
    <w:semiHidden/>
    <w:unhideWhenUsed/>
    <w:rsid w:val="00E13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67F"/>
    <w:rPr>
      <w:rFonts w:ascii="Tahoma" w:hAnsi="Tahoma" w:cs="Tahoma"/>
      <w:sz w:val="16"/>
      <w:szCs w:val="16"/>
    </w:rPr>
  </w:style>
  <w:style w:type="table" w:styleId="TableGrid">
    <w:name w:val="Table Grid"/>
    <w:basedOn w:val="TableNormal"/>
    <w:uiPriority w:val="59"/>
    <w:rsid w:val="00E13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730CD"/>
    <w:pPr>
      <w:spacing w:after="0" w:line="240" w:lineRule="auto"/>
    </w:pPr>
  </w:style>
  <w:style w:type="paragraph" w:styleId="Header">
    <w:name w:val="header"/>
    <w:basedOn w:val="Normal"/>
    <w:link w:val="HeaderChar"/>
    <w:uiPriority w:val="99"/>
    <w:unhideWhenUsed/>
    <w:rsid w:val="008A7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7EBD"/>
  </w:style>
  <w:style w:type="paragraph" w:styleId="Footer">
    <w:name w:val="footer"/>
    <w:basedOn w:val="Normal"/>
    <w:link w:val="FooterChar"/>
    <w:uiPriority w:val="99"/>
    <w:unhideWhenUsed/>
    <w:rsid w:val="008A7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7EBD"/>
  </w:style>
  <w:style w:type="character" w:styleId="Hyperlink">
    <w:name w:val="Hyperlink"/>
    <w:basedOn w:val="DefaultParagraphFont"/>
    <w:uiPriority w:val="99"/>
    <w:unhideWhenUsed/>
    <w:rsid w:val="00C836DE"/>
    <w:rPr>
      <w:color w:val="0000FF" w:themeColor="hyperlink"/>
      <w:u w:val="single"/>
    </w:rPr>
  </w:style>
  <w:style w:type="paragraph" w:customStyle="1" w:styleId="Default">
    <w:name w:val="Default"/>
    <w:rsid w:val="00A21473"/>
    <w:pPr>
      <w:autoSpaceDE w:val="0"/>
      <w:autoSpaceDN w:val="0"/>
      <w:adjustRightInd w:val="0"/>
      <w:spacing w:after="0" w:line="240" w:lineRule="auto"/>
    </w:pPr>
    <w:rPr>
      <w:rFonts w:ascii="Times New Roman" w:hAnsi="Times New Roman" w:cs="Times New Roman"/>
      <w:color w:val="000000"/>
      <w:sz w:val="24"/>
      <w:szCs w:val="24"/>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80758">
      <w:bodyDiv w:val="1"/>
      <w:marLeft w:val="0"/>
      <w:marRight w:val="0"/>
      <w:marTop w:val="0"/>
      <w:marBottom w:val="0"/>
      <w:divBdr>
        <w:top w:val="none" w:sz="0" w:space="0" w:color="auto"/>
        <w:left w:val="none" w:sz="0" w:space="0" w:color="auto"/>
        <w:bottom w:val="none" w:sz="0" w:space="0" w:color="auto"/>
        <w:right w:val="none" w:sz="0" w:space="0" w:color="auto"/>
      </w:divBdr>
      <w:divsChild>
        <w:div w:id="1179081831">
          <w:marLeft w:val="720"/>
          <w:marRight w:val="0"/>
          <w:marTop w:val="150"/>
          <w:marBottom w:val="0"/>
          <w:divBdr>
            <w:top w:val="none" w:sz="0" w:space="0" w:color="auto"/>
            <w:left w:val="none" w:sz="0" w:space="0" w:color="auto"/>
            <w:bottom w:val="none" w:sz="0" w:space="0" w:color="auto"/>
            <w:right w:val="none" w:sz="0" w:space="0" w:color="auto"/>
          </w:divBdr>
        </w:div>
      </w:divsChild>
    </w:div>
    <w:div w:id="888490770">
      <w:bodyDiv w:val="1"/>
      <w:marLeft w:val="0"/>
      <w:marRight w:val="0"/>
      <w:marTop w:val="0"/>
      <w:marBottom w:val="0"/>
      <w:divBdr>
        <w:top w:val="none" w:sz="0" w:space="0" w:color="auto"/>
        <w:left w:val="none" w:sz="0" w:space="0" w:color="auto"/>
        <w:bottom w:val="none" w:sz="0" w:space="0" w:color="auto"/>
        <w:right w:val="none" w:sz="0" w:space="0" w:color="auto"/>
      </w:divBdr>
      <w:divsChild>
        <w:div w:id="63379148">
          <w:marLeft w:val="720"/>
          <w:marRight w:val="0"/>
          <w:marTop w:val="150"/>
          <w:marBottom w:val="0"/>
          <w:divBdr>
            <w:top w:val="none" w:sz="0" w:space="0" w:color="auto"/>
            <w:left w:val="none" w:sz="0" w:space="0" w:color="auto"/>
            <w:bottom w:val="none" w:sz="0" w:space="0" w:color="auto"/>
            <w:right w:val="none" w:sz="0" w:space="0" w:color="auto"/>
          </w:divBdr>
        </w:div>
        <w:div w:id="88893936">
          <w:marLeft w:val="720"/>
          <w:marRight w:val="0"/>
          <w:marTop w:val="150"/>
          <w:marBottom w:val="0"/>
          <w:divBdr>
            <w:top w:val="none" w:sz="0" w:space="0" w:color="auto"/>
            <w:left w:val="none" w:sz="0" w:space="0" w:color="auto"/>
            <w:bottom w:val="none" w:sz="0" w:space="0" w:color="auto"/>
            <w:right w:val="none" w:sz="0" w:space="0" w:color="auto"/>
          </w:divBdr>
        </w:div>
        <w:div w:id="551963882">
          <w:marLeft w:val="720"/>
          <w:marRight w:val="0"/>
          <w:marTop w:val="150"/>
          <w:marBottom w:val="0"/>
          <w:divBdr>
            <w:top w:val="none" w:sz="0" w:space="0" w:color="auto"/>
            <w:left w:val="none" w:sz="0" w:space="0" w:color="auto"/>
            <w:bottom w:val="none" w:sz="0" w:space="0" w:color="auto"/>
            <w:right w:val="none" w:sz="0" w:space="0" w:color="auto"/>
          </w:divBdr>
        </w:div>
        <w:div w:id="922302734">
          <w:marLeft w:val="720"/>
          <w:marRight w:val="0"/>
          <w:marTop w:val="150"/>
          <w:marBottom w:val="0"/>
          <w:divBdr>
            <w:top w:val="none" w:sz="0" w:space="0" w:color="auto"/>
            <w:left w:val="none" w:sz="0" w:space="0" w:color="auto"/>
            <w:bottom w:val="none" w:sz="0" w:space="0" w:color="auto"/>
            <w:right w:val="none" w:sz="0" w:space="0" w:color="auto"/>
          </w:divBdr>
        </w:div>
        <w:div w:id="1546332671">
          <w:marLeft w:val="720"/>
          <w:marRight w:val="0"/>
          <w:marTop w:val="150"/>
          <w:marBottom w:val="0"/>
          <w:divBdr>
            <w:top w:val="none" w:sz="0" w:space="0" w:color="auto"/>
            <w:left w:val="none" w:sz="0" w:space="0" w:color="auto"/>
            <w:bottom w:val="none" w:sz="0" w:space="0" w:color="auto"/>
            <w:right w:val="none" w:sz="0" w:space="0" w:color="auto"/>
          </w:divBdr>
        </w:div>
      </w:divsChild>
    </w:div>
    <w:div w:id="1352149743">
      <w:bodyDiv w:val="1"/>
      <w:marLeft w:val="0"/>
      <w:marRight w:val="0"/>
      <w:marTop w:val="0"/>
      <w:marBottom w:val="0"/>
      <w:divBdr>
        <w:top w:val="none" w:sz="0" w:space="0" w:color="auto"/>
        <w:left w:val="none" w:sz="0" w:space="0" w:color="auto"/>
        <w:bottom w:val="none" w:sz="0" w:space="0" w:color="auto"/>
        <w:right w:val="none" w:sz="0" w:space="0" w:color="auto"/>
      </w:divBdr>
    </w:div>
    <w:div w:id="198399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847B4-A3E6-4B7E-86A1-09FC81293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219</Words>
  <Characters>1162</Characters>
  <Application>Microsoft Office Word</Application>
  <DocSecurity>0</DocSecurity>
  <Lines>9</Lines>
  <Paragraphs>2</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Novia</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dc:creator>
  <cp:lastModifiedBy>Petra Autio</cp:lastModifiedBy>
  <cp:revision>3</cp:revision>
  <cp:lastPrinted>2014-04-03T04:34:00Z</cp:lastPrinted>
  <dcterms:created xsi:type="dcterms:W3CDTF">2018-02-09T11:22:00Z</dcterms:created>
  <dcterms:modified xsi:type="dcterms:W3CDTF">2018-03-15T18:38:00Z</dcterms:modified>
</cp:coreProperties>
</file>