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0D11924E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C221A1">
        <w:rPr>
          <w:sz w:val="16"/>
          <w:szCs w:val="16"/>
        </w:rPr>
        <w:t>FEV18EB03</w:t>
      </w:r>
      <w:bookmarkStart w:id="0" w:name="_GoBack"/>
      <w:bookmarkEnd w:id="0"/>
    </w:p>
    <w:p w14:paraId="0A5503F9" w14:textId="1BA7FEDC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516CB6">
        <w:rPr>
          <w:sz w:val="20"/>
          <w:szCs w:val="20"/>
        </w:rPr>
        <w:t>Företagsbeskattning och bokslutsplanering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90"/>
        <w:gridCol w:w="2409"/>
        <w:gridCol w:w="2410"/>
        <w:gridCol w:w="2410"/>
      </w:tblGrid>
      <w:tr w:rsidR="00290B98" w:rsidRPr="007C50AF" w14:paraId="6AED38B0" w14:textId="77777777" w:rsidTr="00BB70B3">
        <w:trPr>
          <w:trHeight w:val="30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32F98E14" w14:textId="6FACEAB1" w:rsidR="007C50AF" w:rsidRPr="007C50AF" w:rsidRDefault="008168DA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Inkomstskattesystemets struktur</w:t>
            </w:r>
          </w:p>
        </w:tc>
        <w:tc>
          <w:tcPr>
            <w:tcW w:w="2409" w:type="dxa"/>
          </w:tcPr>
          <w:p w14:paraId="69F9A793" w14:textId="02ED3E4F" w:rsidR="007C50AF" w:rsidRPr="00290B98" w:rsidRDefault="00C613F2" w:rsidP="00C61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inkomstskattesystemets struktur och kan förklara hur de olika bolagsformerna beskattas för sin verksamhet.</w:t>
            </w:r>
          </w:p>
        </w:tc>
        <w:tc>
          <w:tcPr>
            <w:tcW w:w="2410" w:type="dxa"/>
          </w:tcPr>
          <w:p w14:paraId="299E9E9A" w14:textId="63681F09" w:rsidR="007C50AF" w:rsidRPr="00290B98" w:rsidRDefault="00C613F2" w:rsidP="00C61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inkomstskattesystemets struktur och kan beräkna inkomstskatt för olika typer av företag. Studerande kan utföra enklare deklarationer för företag.</w:t>
            </w:r>
          </w:p>
        </w:tc>
        <w:tc>
          <w:tcPr>
            <w:tcW w:w="2410" w:type="dxa"/>
          </w:tcPr>
          <w:p w14:paraId="45373883" w14:textId="72C78E52" w:rsidR="007C50AF" w:rsidRPr="00290B98" w:rsidRDefault="00C613F2" w:rsidP="00D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inkomstskattesystemets struktur och kan beräkna inkomstskatt för olika typer av företag. Studerande kan självständigt uppgöra företagens deklaration.</w:t>
            </w:r>
          </w:p>
        </w:tc>
      </w:tr>
      <w:tr w:rsidR="00BB70B3" w:rsidRPr="007C50AF" w14:paraId="0B996A09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7B62A36E" w14:textId="3B476DF3" w:rsidR="00BB70B3" w:rsidRPr="007C50AF" w:rsidRDefault="008168DA" w:rsidP="00BB70B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Beskattning av näringsverksamhet</w:t>
            </w:r>
          </w:p>
        </w:tc>
        <w:tc>
          <w:tcPr>
            <w:tcW w:w="2409" w:type="dxa"/>
          </w:tcPr>
          <w:p w14:paraId="2AF92A7E" w14:textId="2FADEA54" w:rsidR="00BB70B3" w:rsidRPr="00290B98" w:rsidRDefault="00C613F2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näringsskattelagen och hur denna påverkar företagens beskattning.</w:t>
            </w:r>
          </w:p>
        </w:tc>
        <w:tc>
          <w:tcPr>
            <w:tcW w:w="2410" w:type="dxa"/>
          </w:tcPr>
          <w:p w14:paraId="33DFDCCC" w14:textId="19387F89" w:rsidR="00BB70B3" w:rsidRPr="00290B98" w:rsidRDefault="00C613F2" w:rsidP="00C61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förklara näringsskattelagen och redogöra för företagens skattepliktiga resp. skattefria inkomster och avdragbara resp. icke-avdragbara utgifter.</w:t>
            </w:r>
          </w:p>
        </w:tc>
        <w:tc>
          <w:tcPr>
            <w:tcW w:w="2410" w:type="dxa"/>
          </w:tcPr>
          <w:p w14:paraId="2E263A5A" w14:textId="20469301" w:rsidR="00BB70B3" w:rsidRPr="00290B98" w:rsidRDefault="00C613F2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tillämpa näringsskattelagen i beräkningar gällande företagens beskattningsbara resultat.</w:t>
            </w:r>
          </w:p>
        </w:tc>
      </w:tr>
      <w:tr w:rsidR="00BB70B3" w:rsidRPr="007C50AF" w14:paraId="03D298EE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26C60F50" w14:textId="3A49152A" w:rsidR="00BB70B3" w:rsidRPr="007C50AF" w:rsidRDefault="008168DA" w:rsidP="00BB70B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Bokslutsplanering</w:t>
            </w:r>
          </w:p>
        </w:tc>
        <w:tc>
          <w:tcPr>
            <w:tcW w:w="2409" w:type="dxa"/>
          </w:tcPr>
          <w:p w14:paraId="17859EDC" w14:textId="79FAB213" w:rsidR="00BB70B3" w:rsidRPr="00290B98" w:rsidRDefault="008168DA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bokslutsplaneringens betydelse för företaget.</w:t>
            </w:r>
          </w:p>
        </w:tc>
        <w:tc>
          <w:tcPr>
            <w:tcW w:w="2410" w:type="dxa"/>
          </w:tcPr>
          <w:p w14:paraId="291F511D" w14:textId="6996CA4B" w:rsidR="008168DA" w:rsidRPr="008168DA" w:rsidRDefault="008168DA" w:rsidP="00816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</w:t>
            </w:r>
            <w:r w:rsidRPr="008168DA">
              <w:rPr>
                <w:sz w:val="16"/>
                <w:szCs w:val="16"/>
              </w:rPr>
              <w:t>kan planera och uppgöra bokslut  för olika typer av företag med beaktande av aktuell skattelagstiftning</w:t>
            </w:r>
            <w:r>
              <w:rPr>
                <w:sz w:val="16"/>
                <w:szCs w:val="16"/>
              </w:rPr>
              <w:t>.</w:t>
            </w:r>
          </w:p>
          <w:p w14:paraId="7C2C0B40" w14:textId="55B59C75" w:rsidR="00BB70B3" w:rsidRPr="00290B98" w:rsidRDefault="00BB70B3" w:rsidP="00DA073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71292D12" w14:textId="3712CC9F" w:rsidR="008168DA" w:rsidRPr="008168DA" w:rsidRDefault="008168DA" w:rsidP="008168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</w:t>
            </w:r>
            <w:r w:rsidRPr="008168DA">
              <w:rPr>
                <w:sz w:val="16"/>
                <w:szCs w:val="16"/>
              </w:rPr>
              <w:t>kan</w:t>
            </w:r>
            <w:r>
              <w:rPr>
                <w:sz w:val="16"/>
                <w:szCs w:val="16"/>
              </w:rPr>
              <w:t xml:space="preserve"> självständigt</w:t>
            </w:r>
            <w:r w:rsidRPr="008168DA">
              <w:rPr>
                <w:sz w:val="16"/>
                <w:szCs w:val="16"/>
              </w:rPr>
              <w:t xml:space="preserve"> planera och uppgöra bokslut  för olika typer av företag med beaktande av aktuell skattelagstiftning</w:t>
            </w:r>
            <w:r>
              <w:rPr>
                <w:sz w:val="16"/>
                <w:szCs w:val="16"/>
              </w:rPr>
              <w:t>. Studerande kan utnyttja de olika alternativen som finns och kan förklara följderna av skattemässiga åtgärder.</w:t>
            </w:r>
          </w:p>
          <w:p w14:paraId="40B89255" w14:textId="3E5B9625" w:rsidR="00BB70B3" w:rsidRPr="00290B98" w:rsidRDefault="00BB70B3" w:rsidP="00DA073A">
            <w:pPr>
              <w:rPr>
                <w:sz w:val="16"/>
                <w:szCs w:val="16"/>
              </w:rPr>
            </w:pP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418D" w14:textId="77777777" w:rsidR="00377F80" w:rsidRDefault="00377F80" w:rsidP="008A7EBD">
      <w:pPr>
        <w:spacing w:after="0" w:line="240" w:lineRule="auto"/>
      </w:pPr>
      <w:r>
        <w:separator/>
      </w:r>
    </w:p>
  </w:endnote>
  <w:endnote w:type="continuationSeparator" w:id="0">
    <w:p w14:paraId="6DB77B0D" w14:textId="77777777" w:rsidR="00377F80" w:rsidRDefault="00377F80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0C9F2" w14:textId="77777777" w:rsidR="00377F80" w:rsidRDefault="00377F80" w:rsidP="008A7EBD">
      <w:pPr>
        <w:spacing w:after="0" w:line="240" w:lineRule="auto"/>
      </w:pPr>
      <w:r>
        <w:separator/>
      </w:r>
    </w:p>
  </w:footnote>
  <w:footnote w:type="continuationSeparator" w:id="0">
    <w:p w14:paraId="4611E1DF" w14:textId="77777777" w:rsidR="00377F80" w:rsidRDefault="00377F80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77F80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16CB6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13BD"/>
    <w:rsid w:val="0070553D"/>
    <w:rsid w:val="00747B68"/>
    <w:rsid w:val="0077062A"/>
    <w:rsid w:val="00773114"/>
    <w:rsid w:val="00773215"/>
    <w:rsid w:val="007C4791"/>
    <w:rsid w:val="007C50AF"/>
    <w:rsid w:val="008168DA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BB70B3"/>
    <w:rsid w:val="00C03F72"/>
    <w:rsid w:val="00C10FA3"/>
    <w:rsid w:val="00C221A1"/>
    <w:rsid w:val="00C2587B"/>
    <w:rsid w:val="00C51AB6"/>
    <w:rsid w:val="00C56AEC"/>
    <w:rsid w:val="00C613F2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A073A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B6741"/>
    <w:rsid w:val="00EF6564"/>
    <w:rsid w:val="00F23E59"/>
    <w:rsid w:val="00F409F7"/>
    <w:rsid w:val="00F51131"/>
    <w:rsid w:val="00F53B54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46D9-E318-41B2-936F-03B3707F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2014-04-03T04:34:00Z</cp:lastPrinted>
  <dcterms:created xsi:type="dcterms:W3CDTF">2018-02-22T11:22:00Z</dcterms:created>
  <dcterms:modified xsi:type="dcterms:W3CDTF">2018-03-15T18:29:00Z</dcterms:modified>
</cp:coreProperties>
</file>