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0ABFC37F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9A2EA1">
        <w:rPr>
          <w:sz w:val="16"/>
          <w:szCs w:val="16"/>
        </w:rPr>
        <w:t>FEV18EB01</w:t>
      </w:r>
      <w:bookmarkStart w:id="0" w:name="_GoBack"/>
      <w:bookmarkEnd w:id="0"/>
    </w:p>
    <w:p w14:paraId="0A5503F9" w14:textId="7370FDA4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9A2EA1">
        <w:rPr>
          <w:rFonts w:ascii="Calibri" w:hAnsi="Calibri"/>
          <w:color w:val="000000"/>
        </w:rPr>
        <w:t>O</w:t>
      </w:r>
      <w:r w:rsidR="00C46C63">
        <w:rPr>
          <w:rFonts w:ascii="Calibri" w:hAnsi="Calibri"/>
          <w:color w:val="000000"/>
        </w:rPr>
        <w:t>lika organisationsformer i redovisningen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87"/>
        <w:gridCol w:w="2409"/>
        <w:gridCol w:w="2410"/>
        <w:gridCol w:w="2410"/>
      </w:tblGrid>
      <w:tr w:rsidR="00290B98" w:rsidRPr="007C50AF" w14:paraId="6AED38B0" w14:textId="77777777" w:rsidTr="00127E8E">
        <w:trPr>
          <w:trHeight w:val="30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32F98E14" w14:textId="1ED5AED8" w:rsidR="00127E8E" w:rsidRPr="007C50AF" w:rsidRDefault="00C46C63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Betydelse av bolagsform ur ett redovisningsperspektiv</w:t>
            </w:r>
          </w:p>
        </w:tc>
        <w:tc>
          <w:tcPr>
            <w:tcW w:w="2409" w:type="dxa"/>
          </w:tcPr>
          <w:p w14:paraId="57A61EAA" w14:textId="72913A7D" w:rsidR="006A1C32" w:rsidRPr="006A1C32" w:rsidRDefault="00127E8E" w:rsidP="006A1C32">
            <w:pPr>
              <w:rPr>
                <w:rFonts w:eastAsia="Times New Roman" w:cstheme="minorHAnsi"/>
                <w:sz w:val="16"/>
                <w:szCs w:val="16"/>
                <w:lang w:eastAsia="sv-FI"/>
              </w:rPr>
            </w:pPr>
            <w:r w:rsidRPr="006A1C32">
              <w:rPr>
                <w:sz w:val="16"/>
                <w:szCs w:val="16"/>
              </w:rPr>
              <w:t xml:space="preserve">Studerande </w:t>
            </w:r>
            <w:r w:rsidR="006A1C32" w:rsidRPr="006A1C32">
              <w:rPr>
                <w:rStyle w:val="details"/>
                <w:color w:val="333333"/>
                <w:sz w:val="16"/>
                <w:szCs w:val="16"/>
              </w:rPr>
              <w:t>kan särskilja de olika typerna av organisationer och förstår likheter och olikheter i bokföringen och bokslutet.</w:t>
            </w:r>
          </w:p>
          <w:p w14:paraId="69F9A793" w14:textId="06A15848" w:rsidR="007C50AF" w:rsidRPr="006A1C32" w:rsidRDefault="007C50AF" w:rsidP="00C46C6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5B8BFB9" w14:textId="1BF7BB5B" w:rsidR="006A1C32" w:rsidRPr="006A1C32" w:rsidRDefault="00127E8E" w:rsidP="006A1C32">
            <w:pPr>
              <w:rPr>
                <w:rFonts w:eastAsia="Times New Roman" w:cstheme="minorHAnsi"/>
                <w:b/>
                <w:sz w:val="16"/>
                <w:szCs w:val="16"/>
                <w:lang w:eastAsia="sv-FI"/>
              </w:rPr>
            </w:pPr>
            <w:r w:rsidRPr="006A1C32">
              <w:rPr>
                <w:sz w:val="16"/>
                <w:szCs w:val="16"/>
              </w:rPr>
              <w:t xml:space="preserve">Studerande </w:t>
            </w:r>
            <w:r w:rsidR="006A1C32" w:rsidRPr="006A1C32">
              <w:rPr>
                <w:rStyle w:val="details"/>
                <w:color w:val="333333"/>
                <w:sz w:val="16"/>
                <w:szCs w:val="16"/>
              </w:rPr>
              <w:t xml:space="preserve">kan </w:t>
            </w:r>
            <w:r w:rsidR="006A1C32">
              <w:rPr>
                <w:rStyle w:val="details"/>
                <w:color w:val="333333"/>
                <w:sz w:val="16"/>
                <w:szCs w:val="16"/>
              </w:rPr>
              <w:t>sköta bokföringen och</w:t>
            </w:r>
            <w:r w:rsidR="006A1C32" w:rsidRPr="006A1C32">
              <w:rPr>
                <w:rStyle w:val="details"/>
                <w:color w:val="333333"/>
                <w:sz w:val="16"/>
                <w:szCs w:val="16"/>
              </w:rPr>
              <w:t xml:space="preserve"> uppgöra bokslut för enskild näringsidkare, personbolag, aktiebolag, andelslag, bostadsaktiebolag, föreningar och stiftelser </w:t>
            </w:r>
            <w:r w:rsidR="006A1C32">
              <w:rPr>
                <w:rStyle w:val="details"/>
                <w:color w:val="333333"/>
                <w:sz w:val="16"/>
                <w:szCs w:val="16"/>
              </w:rPr>
              <w:t>, och känner till de särdrag som karaktäriserar den offentliga ekonomiförvaltningen.</w:t>
            </w:r>
          </w:p>
          <w:p w14:paraId="299E9E9A" w14:textId="76C48464" w:rsidR="007C50AF" w:rsidRPr="00290B98" w:rsidRDefault="007C50AF" w:rsidP="00C46C6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616F9A0" w14:textId="77777777" w:rsidR="007F77BF" w:rsidRPr="006A1C32" w:rsidRDefault="00127E8E" w:rsidP="007F77BF">
            <w:pPr>
              <w:rPr>
                <w:rFonts w:eastAsia="Times New Roman" w:cstheme="minorHAnsi"/>
                <w:b/>
                <w:sz w:val="16"/>
                <w:szCs w:val="16"/>
                <w:lang w:eastAsia="sv-FI"/>
              </w:rPr>
            </w:pPr>
            <w:r>
              <w:rPr>
                <w:sz w:val="16"/>
                <w:szCs w:val="16"/>
              </w:rPr>
              <w:t>Studerande kan självständigt</w:t>
            </w:r>
            <w:r w:rsidR="007F77BF">
              <w:rPr>
                <w:sz w:val="16"/>
                <w:szCs w:val="16"/>
              </w:rPr>
              <w:t xml:space="preserve"> sköta bokföringen och uppgöra bokslutet </w:t>
            </w:r>
            <w:r w:rsidR="007F77BF" w:rsidRPr="006A1C32">
              <w:rPr>
                <w:rStyle w:val="details"/>
                <w:color w:val="333333"/>
                <w:sz w:val="16"/>
                <w:szCs w:val="16"/>
              </w:rPr>
              <w:t xml:space="preserve">för enskild näringsidkare, personbolag, aktiebolag, andelslag, bostadsaktiebolag, föreningar och stiftelser </w:t>
            </w:r>
            <w:r w:rsidR="007F77BF">
              <w:rPr>
                <w:rStyle w:val="details"/>
                <w:color w:val="333333"/>
                <w:sz w:val="16"/>
                <w:szCs w:val="16"/>
              </w:rPr>
              <w:t>, och känner till de särdrag som karaktäriserar den offentliga ekonomiförvaltningen.</w:t>
            </w:r>
          </w:p>
          <w:p w14:paraId="45373883" w14:textId="6D9E7390" w:rsidR="007C50AF" w:rsidRPr="00290B98" w:rsidRDefault="007C50AF" w:rsidP="006A1C32">
            <w:pPr>
              <w:rPr>
                <w:sz w:val="16"/>
                <w:szCs w:val="16"/>
              </w:rPr>
            </w:pPr>
          </w:p>
        </w:tc>
      </w:tr>
      <w:tr w:rsidR="00127E8E" w:rsidRPr="007C50AF" w14:paraId="03D298EE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26C60F50" w14:textId="5B7C9B9D" w:rsidR="00127E8E" w:rsidRPr="007C50AF" w:rsidRDefault="006A1C32" w:rsidP="00127E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Bokslutsplanering</w:t>
            </w:r>
          </w:p>
        </w:tc>
        <w:tc>
          <w:tcPr>
            <w:tcW w:w="2409" w:type="dxa"/>
          </w:tcPr>
          <w:p w14:paraId="17859EDC" w14:textId="60079090" w:rsidR="00127E8E" w:rsidRPr="00290B98" w:rsidRDefault="006A1C32" w:rsidP="006A1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betydelsen av periodiseringar och kan uppgöra enklare bokslut för mindre företag i Finland.</w:t>
            </w:r>
          </w:p>
        </w:tc>
        <w:tc>
          <w:tcPr>
            <w:tcW w:w="2410" w:type="dxa"/>
          </w:tcPr>
          <w:p w14:paraId="7C2C0B40" w14:textId="63DEB54F" w:rsidR="00127E8E" w:rsidRPr="00290B98" w:rsidRDefault="006A1C32" w:rsidP="006A1C32">
            <w:pPr>
              <w:rPr>
                <w:sz w:val="16"/>
                <w:szCs w:val="16"/>
              </w:rPr>
            </w:pPr>
            <w:r w:rsidRPr="006A1C32">
              <w:rPr>
                <w:sz w:val="16"/>
                <w:szCs w:val="16"/>
              </w:rPr>
              <w:t xml:space="preserve">Studerande </w:t>
            </w:r>
            <w:r w:rsidRPr="006A1C32">
              <w:rPr>
                <w:rStyle w:val="details"/>
                <w:color w:val="333333"/>
                <w:sz w:val="16"/>
                <w:szCs w:val="16"/>
              </w:rPr>
              <w:t xml:space="preserve">kan </w:t>
            </w:r>
            <w:r>
              <w:rPr>
                <w:rStyle w:val="details"/>
                <w:color w:val="333333"/>
                <w:sz w:val="16"/>
                <w:szCs w:val="16"/>
              </w:rPr>
              <w:t xml:space="preserve">utföra enklare periodiseringar och </w:t>
            </w:r>
            <w:r w:rsidRPr="006A1C32">
              <w:rPr>
                <w:rStyle w:val="details"/>
                <w:color w:val="333333"/>
                <w:sz w:val="16"/>
                <w:szCs w:val="16"/>
              </w:rPr>
              <w:t>planera bokslut för enskild näringsidkare, personbolag, aktiebolag, andelslag, bostadsaktieb</w:t>
            </w:r>
            <w:r>
              <w:rPr>
                <w:rStyle w:val="details"/>
                <w:color w:val="333333"/>
                <w:sz w:val="16"/>
                <w:szCs w:val="16"/>
              </w:rPr>
              <w:t>olag, föreningar och stiftelser med tillämpande av aktuell lagstiftning.</w:t>
            </w:r>
          </w:p>
        </w:tc>
        <w:tc>
          <w:tcPr>
            <w:tcW w:w="2410" w:type="dxa"/>
          </w:tcPr>
          <w:p w14:paraId="40B89255" w14:textId="55F05E54" w:rsidR="00127E8E" w:rsidRPr="00290B98" w:rsidRDefault="006A1C32" w:rsidP="006A1C32">
            <w:pPr>
              <w:rPr>
                <w:sz w:val="16"/>
                <w:szCs w:val="16"/>
              </w:rPr>
            </w:pPr>
            <w:r w:rsidRPr="006A1C32">
              <w:rPr>
                <w:sz w:val="16"/>
                <w:szCs w:val="16"/>
              </w:rPr>
              <w:t xml:space="preserve">Studerande </w:t>
            </w:r>
            <w:r w:rsidRPr="006A1C32">
              <w:rPr>
                <w:rStyle w:val="details"/>
                <w:color w:val="333333"/>
                <w:sz w:val="16"/>
                <w:szCs w:val="16"/>
              </w:rPr>
              <w:t xml:space="preserve">kan </w:t>
            </w:r>
            <w:r>
              <w:rPr>
                <w:rStyle w:val="details"/>
                <w:color w:val="333333"/>
                <w:sz w:val="16"/>
                <w:szCs w:val="16"/>
              </w:rPr>
              <w:t xml:space="preserve">självständigt utföra  periodiseringar och </w:t>
            </w:r>
            <w:r w:rsidRPr="006A1C32">
              <w:rPr>
                <w:rStyle w:val="details"/>
                <w:color w:val="333333"/>
                <w:sz w:val="16"/>
                <w:szCs w:val="16"/>
              </w:rPr>
              <w:t>planera bokslut för enskild näringsidkare, personbolag, aktiebolag, andelslag, bostadsaktieb</w:t>
            </w:r>
            <w:r>
              <w:rPr>
                <w:rStyle w:val="details"/>
                <w:color w:val="333333"/>
                <w:sz w:val="16"/>
                <w:szCs w:val="16"/>
              </w:rPr>
              <w:t>olag, föreningar och stiftelser med tillämpande av aktuell lagstiftning. Studerande kan självständigt tolka ett bokslut från</w:t>
            </w:r>
            <w:r w:rsidR="007F77BF">
              <w:rPr>
                <w:rStyle w:val="details"/>
                <w:color w:val="333333"/>
                <w:sz w:val="16"/>
                <w:szCs w:val="16"/>
              </w:rPr>
              <w:t xml:space="preserve"> den offentliga sektorn</w:t>
            </w:r>
            <w:r>
              <w:rPr>
                <w:rStyle w:val="details"/>
                <w:color w:val="333333"/>
                <w:sz w:val="16"/>
                <w:szCs w:val="16"/>
              </w:rPr>
              <w:t xml:space="preserve"> </w:t>
            </w:r>
          </w:p>
        </w:tc>
      </w:tr>
      <w:tr w:rsidR="00127E8E" w:rsidRPr="007C50AF" w14:paraId="7F9C0E8A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7E7415C0" w14:textId="2312902D" w:rsidR="00127E8E" w:rsidRPr="007C50AF" w:rsidRDefault="006A1C32" w:rsidP="00127E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Byte av bolagsform</w:t>
            </w:r>
          </w:p>
        </w:tc>
        <w:tc>
          <w:tcPr>
            <w:tcW w:w="2409" w:type="dxa"/>
          </w:tcPr>
          <w:p w14:paraId="414191F7" w14:textId="69AE40A5" w:rsidR="00127E8E" w:rsidRPr="00290B98" w:rsidRDefault="00071A02" w:rsidP="006A1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</w:t>
            </w:r>
            <w:r w:rsidR="007F77BF">
              <w:rPr>
                <w:sz w:val="16"/>
                <w:szCs w:val="16"/>
              </w:rPr>
              <w:t xml:space="preserve"> proceduren vid byte av bolagsform.</w:t>
            </w:r>
          </w:p>
        </w:tc>
        <w:tc>
          <w:tcPr>
            <w:tcW w:w="2410" w:type="dxa"/>
          </w:tcPr>
          <w:p w14:paraId="0B8990B8" w14:textId="2091ACBE" w:rsidR="00127E8E" w:rsidRPr="00290B98" w:rsidRDefault="00071A02" w:rsidP="007F7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</w:t>
            </w:r>
            <w:r w:rsidR="007F77BF">
              <w:rPr>
                <w:sz w:val="16"/>
                <w:szCs w:val="16"/>
              </w:rPr>
              <w:t xml:space="preserve"> redogöra för proceduren vid byte av bolagsform ur ett administrativt och affärsmässigt perspektiv.</w:t>
            </w:r>
          </w:p>
        </w:tc>
        <w:tc>
          <w:tcPr>
            <w:tcW w:w="2410" w:type="dxa"/>
          </w:tcPr>
          <w:p w14:paraId="37818A1B" w14:textId="64D2DE82" w:rsidR="00127E8E" w:rsidRPr="00290B98" w:rsidRDefault="00071A02" w:rsidP="007F7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</w:t>
            </w:r>
            <w:r w:rsidR="007F77BF">
              <w:rPr>
                <w:sz w:val="16"/>
                <w:szCs w:val="16"/>
              </w:rPr>
              <w:t xml:space="preserve">genomföra ett byte av bolagsform samt motiverat argumentera för när de olika bolagsformerna är lämpliga </w:t>
            </w:r>
            <w:r>
              <w:rPr>
                <w:sz w:val="16"/>
                <w:szCs w:val="16"/>
              </w:rPr>
              <w:t xml:space="preserve"> </w:t>
            </w:r>
            <w:r w:rsidR="007F77BF">
              <w:rPr>
                <w:sz w:val="16"/>
                <w:szCs w:val="16"/>
              </w:rPr>
              <w:t>ur ett administrativt och affärsmässigt perspektiv.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1DAC" w14:textId="77777777" w:rsidR="00CB02AD" w:rsidRDefault="00CB02AD" w:rsidP="008A7EBD">
      <w:pPr>
        <w:spacing w:after="0" w:line="240" w:lineRule="auto"/>
      </w:pPr>
      <w:r>
        <w:separator/>
      </w:r>
    </w:p>
  </w:endnote>
  <w:endnote w:type="continuationSeparator" w:id="0">
    <w:p w14:paraId="65530BCF" w14:textId="77777777" w:rsidR="00CB02AD" w:rsidRDefault="00CB02AD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508E" w14:textId="77777777" w:rsidR="00CB02AD" w:rsidRDefault="00CB02AD" w:rsidP="008A7EBD">
      <w:pPr>
        <w:spacing w:after="0" w:line="240" w:lineRule="auto"/>
      </w:pPr>
      <w:r>
        <w:separator/>
      </w:r>
    </w:p>
  </w:footnote>
  <w:footnote w:type="continuationSeparator" w:id="0">
    <w:p w14:paraId="51821CEB" w14:textId="77777777" w:rsidR="00CB02AD" w:rsidRDefault="00CB02AD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216D"/>
    <w:multiLevelType w:val="hybridMultilevel"/>
    <w:tmpl w:val="869A5516"/>
    <w:lvl w:ilvl="0" w:tplc="A1FA94E4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  <w:b w:val="0"/>
        <w:color w:val="333333"/>
      </w:rPr>
    </w:lvl>
    <w:lvl w:ilvl="1" w:tplc="08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71A02"/>
    <w:rsid w:val="000A14BD"/>
    <w:rsid w:val="000F6646"/>
    <w:rsid w:val="00111C03"/>
    <w:rsid w:val="001133B5"/>
    <w:rsid w:val="00127E8E"/>
    <w:rsid w:val="00140798"/>
    <w:rsid w:val="00156596"/>
    <w:rsid w:val="001606FD"/>
    <w:rsid w:val="00187162"/>
    <w:rsid w:val="0019432B"/>
    <w:rsid w:val="001A089C"/>
    <w:rsid w:val="001A73BA"/>
    <w:rsid w:val="001C5749"/>
    <w:rsid w:val="001C7D18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A1C32"/>
    <w:rsid w:val="006E6FC0"/>
    <w:rsid w:val="006F2AB8"/>
    <w:rsid w:val="0070553D"/>
    <w:rsid w:val="00747B68"/>
    <w:rsid w:val="0077062A"/>
    <w:rsid w:val="00773114"/>
    <w:rsid w:val="007C4791"/>
    <w:rsid w:val="007C50AF"/>
    <w:rsid w:val="007F77B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2EA1"/>
    <w:rsid w:val="009A4DD6"/>
    <w:rsid w:val="009B1DD9"/>
    <w:rsid w:val="009B6F66"/>
    <w:rsid w:val="009E76B0"/>
    <w:rsid w:val="00A21473"/>
    <w:rsid w:val="00A24762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46C63"/>
    <w:rsid w:val="00C51AB6"/>
    <w:rsid w:val="00C56AEC"/>
    <w:rsid w:val="00C751ED"/>
    <w:rsid w:val="00C836DE"/>
    <w:rsid w:val="00C966CE"/>
    <w:rsid w:val="00CB02AD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character" w:customStyle="1" w:styleId="details">
    <w:name w:val="details"/>
    <w:basedOn w:val="DefaultParagraphFont"/>
    <w:rsid w:val="006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8B-8D74-414A-988C-7525BBE8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2018-02-20T11:37:00Z</dcterms:created>
  <dcterms:modified xsi:type="dcterms:W3CDTF">2018-03-15T18:26:00Z</dcterms:modified>
</cp:coreProperties>
</file>