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30AEFDAD" w:rsidR="002C18BA" w:rsidRPr="0032077F" w:rsidRDefault="00111C03" w:rsidP="002C18BA">
      <w:pPr>
        <w:rPr>
          <w:b/>
          <w:sz w:val="16"/>
          <w:szCs w:val="16"/>
          <w:u w:val="single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3DDED80B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32077F">
        <w:rPr>
          <w:sz w:val="16"/>
          <w:szCs w:val="16"/>
        </w:rPr>
        <w:t>FEV18JU01</w:t>
      </w:r>
      <w:bookmarkStart w:id="0" w:name="_GoBack"/>
      <w:bookmarkEnd w:id="0"/>
    </w:p>
    <w:p w14:paraId="4F1ED123" w14:textId="0FFB7CF7" w:rsidR="00B5387D" w:rsidRPr="008B1CE5" w:rsidRDefault="008A7EBD" w:rsidP="00B5387D">
      <w:pPr>
        <w:rPr>
          <w:b/>
          <w:sz w:val="24"/>
          <w:szCs w:val="24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B5387D" w:rsidRPr="008B1CE5">
        <w:rPr>
          <w:b/>
          <w:sz w:val="24"/>
          <w:szCs w:val="24"/>
        </w:rPr>
        <w:t>Handels</w:t>
      </w:r>
      <w:r w:rsidR="00B5387D">
        <w:rPr>
          <w:b/>
          <w:sz w:val="24"/>
          <w:szCs w:val="24"/>
        </w:rPr>
        <w:t xml:space="preserve">- och bolagsrätt  </w:t>
      </w:r>
    </w:p>
    <w:p w14:paraId="0A5503F9" w14:textId="580190DA" w:rsidR="008A7EBD" w:rsidRDefault="008A7EBD" w:rsidP="002C18BA">
      <w:pPr>
        <w:spacing w:line="240" w:lineRule="auto"/>
        <w:contextualSpacing/>
        <w:rPr>
          <w:sz w:val="16"/>
          <w:szCs w:val="16"/>
        </w:rPr>
      </w:pP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C50AF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04F552FB" w:rsidR="007C50AF" w:rsidRPr="007C50AF" w:rsidRDefault="00B5387D" w:rsidP="00F23E59">
            <w:pPr>
              <w:rPr>
                <w:sz w:val="20"/>
                <w:szCs w:val="16"/>
              </w:rPr>
            </w:pPr>
            <w:r>
              <w:t>Finska rättssystemet</w:t>
            </w:r>
          </w:p>
        </w:tc>
        <w:tc>
          <w:tcPr>
            <w:tcW w:w="2409" w:type="dxa"/>
          </w:tcPr>
          <w:p w14:paraId="69F9A793" w14:textId="23FF5454" w:rsidR="007C50AF" w:rsidRPr="00290B98" w:rsidRDefault="00B5387D" w:rsidP="00F23E59">
            <w:pPr>
              <w:rPr>
                <w:sz w:val="16"/>
                <w:szCs w:val="16"/>
              </w:rPr>
            </w:pPr>
            <w:r w:rsidRPr="00B21C6B">
              <w:t xml:space="preserve">Studerande </w:t>
            </w:r>
            <w:r>
              <w:t>känner till grundbegrepp inom juridiken och förstår det finska rättssystemets uppbyggnad.</w:t>
            </w:r>
          </w:p>
        </w:tc>
        <w:tc>
          <w:tcPr>
            <w:tcW w:w="2410" w:type="dxa"/>
          </w:tcPr>
          <w:p w14:paraId="299E9E9A" w14:textId="31DA6FCA" w:rsidR="007C50AF" w:rsidRPr="00290B98" w:rsidRDefault="00B5387D" w:rsidP="00F23E59">
            <w:pPr>
              <w:rPr>
                <w:sz w:val="16"/>
                <w:szCs w:val="16"/>
              </w:rPr>
            </w:pPr>
            <w:r>
              <w:t>Studerande förstår och kan använda facktermer inom juridik och kan förklara det finska rättssystemets uppbyggnad.</w:t>
            </w:r>
          </w:p>
        </w:tc>
        <w:tc>
          <w:tcPr>
            <w:tcW w:w="2410" w:type="dxa"/>
          </w:tcPr>
          <w:p w14:paraId="45373883" w14:textId="0B4359D8" w:rsidR="007C50AF" w:rsidRPr="00290B98" w:rsidRDefault="00B5387D" w:rsidP="00F23E59">
            <w:pPr>
              <w:rPr>
                <w:sz w:val="16"/>
                <w:szCs w:val="16"/>
              </w:rPr>
            </w:pPr>
            <w:r>
              <w:t>Studerande har fördjupad kunskap om fackterminologi och rättssystemets uppbyggnad i Finland.</w:t>
            </w:r>
          </w:p>
        </w:tc>
      </w:tr>
      <w:tr w:rsidR="00B5387D" w:rsidRPr="007C50AF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4870FDCF" w:rsidR="00B5387D" w:rsidRPr="007C50AF" w:rsidRDefault="00B5387D" w:rsidP="00B5387D">
            <w:pPr>
              <w:rPr>
                <w:sz w:val="20"/>
                <w:szCs w:val="16"/>
              </w:rPr>
            </w:pPr>
            <w:r>
              <w:t>Avtalsrätt</w:t>
            </w:r>
          </w:p>
        </w:tc>
        <w:tc>
          <w:tcPr>
            <w:tcW w:w="2409" w:type="dxa"/>
          </w:tcPr>
          <w:p w14:paraId="2AF92A7E" w14:textId="2AD9022F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kan grundbegreppen och förstår avtalsrättens betydelse.</w:t>
            </w:r>
          </w:p>
        </w:tc>
        <w:tc>
          <w:tcPr>
            <w:tcW w:w="2410" w:type="dxa"/>
          </w:tcPr>
          <w:p w14:paraId="33DFDCCC" w14:textId="4E4A40D2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förstår innehållet i avtalsrätten och kan sätta in den i ett saksammanhang. Studerande kan underhandledning tillämpa det inlärda i praktiken.</w:t>
            </w:r>
          </w:p>
        </w:tc>
        <w:tc>
          <w:tcPr>
            <w:tcW w:w="2410" w:type="dxa"/>
          </w:tcPr>
          <w:p w14:paraId="2E263A5A" w14:textId="53106689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behärskar innehållet och förstår helheten och orsakssambanden inom ämnet. Studerande kan självständigt tillämpa det inlärda i praktiken.</w:t>
            </w:r>
          </w:p>
        </w:tc>
      </w:tr>
      <w:tr w:rsidR="00B5387D" w:rsidRPr="007C50AF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342ABC5" w14:textId="77777777" w:rsidR="00B5387D" w:rsidRDefault="00B5387D" w:rsidP="00B5387D">
            <w:r>
              <w:t>Obligationsrätt</w:t>
            </w:r>
          </w:p>
          <w:p w14:paraId="26C60F50" w14:textId="59C12F5B" w:rsidR="00B5387D" w:rsidRPr="007C50AF" w:rsidRDefault="00B5387D" w:rsidP="00B5387D">
            <w:pPr>
              <w:rPr>
                <w:sz w:val="20"/>
                <w:szCs w:val="16"/>
              </w:rPr>
            </w:pPr>
          </w:p>
        </w:tc>
        <w:tc>
          <w:tcPr>
            <w:tcW w:w="2409" w:type="dxa"/>
          </w:tcPr>
          <w:p w14:paraId="17859EDC" w14:textId="024035CA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kan grundbegreppen och förstår obligationsrättens betydelse.</w:t>
            </w:r>
          </w:p>
        </w:tc>
        <w:tc>
          <w:tcPr>
            <w:tcW w:w="2410" w:type="dxa"/>
          </w:tcPr>
          <w:p w14:paraId="7C2C0B40" w14:textId="0C956523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förstår innehållet i obligationsrätten och kan sätta in den i ett saksammanhang. Studerande kan underhandledning tillämpa det inlärda i praktiken.</w:t>
            </w:r>
          </w:p>
        </w:tc>
        <w:tc>
          <w:tcPr>
            <w:tcW w:w="2410" w:type="dxa"/>
          </w:tcPr>
          <w:p w14:paraId="40B89255" w14:textId="40C96F1D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behärskar innehållet och förstår helheten och orsakssambanden inom ämnet. Studerande kan självständigt tillämpa det inlärda i praktiken.</w:t>
            </w:r>
          </w:p>
        </w:tc>
      </w:tr>
      <w:tr w:rsidR="00B5387D" w:rsidRPr="007C50AF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850300B" w14:textId="77777777" w:rsidR="00B5387D" w:rsidRDefault="00B5387D" w:rsidP="00B5387D">
            <w:r>
              <w:t>Köp- och konsumenträtt</w:t>
            </w:r>
          </w:p>
          <w:p w14:paraId="174FE8B8" w14:textId="77777777" w:rsidR="00B5387D" w:rsidRDefault="00B5387D" w:rsidP="00B5387D"/>
          <w:p w14:paraId="7E7415C0" w14:textId="4EDB90D6" w:rsidR="00B5387D" w:rsidRPr="007C50AF" w:rsidRDefault="00B5387D" w:rsidP="00B5387D">
            <w:pPr>
              <w:rPr>
                <w:sz w:val="20"/>
                <w:szCs w:val="16"/>
              </w:rPr>
            </w:pPr>
          </w:p>
        </w:tc>
        <w:tc>
          <w:tcPr>
            <w:tcW w:w="2409" w:type="dxa"/>
          </w:tcPr>
          <w:p w14:paraId="414191F7" w14:textId="5A318E48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kan grundbegreppen och förstår köp- och konsumenträttens betydelse.</w:t>
            </w:r>
          </w:p>
        </w:tc>
        <w:tc>
          <w:tcPr>
            <w:tcW w:w="2410" w:type="dxa"/>
          </w:tcPr>
          <w:p w14:paraId="0B8990B8" w14:textId="7E8C25CA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förstår innehållet i köp- och konsumenträtten och kan sätta in den i ett saksammanhang. Studerande kan underhandledning tillämpa det inlärda i praktiken.</w:t>
            </w:r>
          </w:p>
        </w:tc>
        <w:tc>
          <w:tcPr>
            <w:tcW w:w="2410" w:type="dxa"/>
          </w:tcPr>
          <w:p w14:paraId="37818A1B" w14:textId="5B666907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behärskar innehållet och förstår helheten och orsakssambanden inom ämnet. Studerande kan självständigt tillämpa det inlärda i praktiken.</w:t>
            </w:r>
          </w:p>
        </w:tc>
      </w:tr>
      <w:tr w:rsidR="00B5387D" w:rsidRPr="007C50AF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145B7175" w:rsidR="00B5387D" w:rsidRPr="007C50AF" w:rsidRDefault="00B5387D" w:rsidP="00B5387D">
            <w:pPr>
              <w:rPr>
                <w:sz w:val="20"/>
                <w:szCs w:val="16"/>
              </w:rPr>
            </w:pPr>
            <w:r>
              <w:t>Bolagsrätt</w:t>
            </w:r>
          </w:p>
        </w:tc>
        <w:tc>
          <w:tcPr>
            <w:tcW w:w="2409" w:type="dxa"/>
          </w:tcPr>
          <w:p w14:paraId="20E6B115" w14:textId="56299C26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känner till de olika bolagsformerna och det juridiska ansvar som följer med dem.</w:t>
            </w:r>
          </w:p>
        </w:tc>
        <w:tc>
          <w:tcPr>
            <w:tcW w:w="2410" w:type="dxa"/>
          </w:tcPr>
          <w:p w14:paraId="4D242A4D" w14:textId="0D58F969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förstår skillnaderna på de olika bolagsformerna och kan förklara dessa ur ett juridiskt perspektiv.</w:t>
            </w:r>
          </w:p>
        </w:tc>
        <w:tc>
          <w:tcPr>
            <w:tcW w:w="2410" w:type="dxa"/>
          </w:tcPr>
          <w:p w14:paraId="7F77A43C" w14:textId="76F3FC64" w:rsidR="00B5387D" w:rsidRPr="00290B98" w:rsidRDefault="00B5387D" w:rsidP="00B5387D">
            <w:pPr>
              <w:rPr>
                <w:sz w:val="16"/>
                <w:szCs w:val="16"/>
              </w:rPr>
            </w:pPr>
            <w:r>
              <w:t>Studerande kan på ett motiverat sätt välja bolagsform i olika situationer med beaktande av olika handelsmässiga och juridiska aspekter.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3034" w14:textId="77777777" w:rsidR="001A5F08" w:rsidRDefault="001A5F08" w:rsidP="008A7EBD">
      <w:pPr>
        <w:spacing w:after="0" w:line="240" w:lineRule="auto"/>
      </w:pPr>
      <w:r>
        <w:separator/>
      </w:r>
    </w:p>
  </w:endnote>
  <w:endnote w:type="continuationSeparator" w:id="0">
    <w:p w14:paraId="376692DE" w14:textId="77777777" w:rsidR="001A5F08" w:rsidRDefault="001A5F0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37FB" w14:textId="77777777" w:rsidR="001A5F08" w:rsidRDefault="001A5F08" w:rsidP="008A7EBD">
      <w:pPr>
        <w:spacing w:after="0" w:line="240" w:lineRule="auto"/>
      </w:pPr>
      <w:r>
        <w:separator/>
      </w:r>
    </w:p>
  </w:footnote>
  <w:footnote w:type="continuationSeparator" w:id="0">
    <w:p w14:paraId="351659C7" w14:textId="77777777" w:rsidR="001A5F08" w:rsidRDefault="001A5F0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5F08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2077F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387D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8221-16EE-4B98-A7B1-8866EB76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2018-02-01T14:27:00Z</dcterms:created>
  <dcterms:modified xsi:type="dcterms:W3CDTF">2018-03-15T12:51:00Z</dcterms:modified>
</cp:coreProperties>
</file>