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  <w:bookmarkStart w:id="0" w:name="_GoBack"/>
      <w:bookmarkEnd w:id="0"/>
    </w:p>
    <w:p w14:paraId="722B09A1" w14:textId="52CAC616" w:rsidR="004A6725" w:rsidRPr="007C1E6B" w:rsidRDefault="00971DCC" w:rsidP="002C18BA">
      <w:pPr>
        <w:spacing w:line="240" w:lineRule="auto"/>
        <w:contextualSpacing/>
        <w:rPr>
          <w:rFonts w:ascii="Corbel" w:hAnsi="Corbel"/>
          <w:sz w:val="20"/>
          <w:szCs w:val="20"/>
        </w:rPr>
      </w:pPr>
      <w:proofErr w:type="spellStart"/>
      <w:r w:rsidRPr="007C1E6B">
        <w:rPr>
          <w:rFonts w:ascii="Corbel" w:hAnsi="Corbel"/>
          <w:sz w:val="20"/>
          <w:szCs w:val="20"/>
        </w:rPr>
        <w:t>Kurskod</w:t>
      </w:r>
      <w:proofErr w:type="spellEnd"/>
      <w:r w:rsidRPr="007C1E6B">
        <w:rPr>
          <w:rFonts w:ascii="Corbel" w:hAnsi="Corbel"/>
          <w:sz w:val="20"/>
          <w:szCs w:val="20"/>
        </w:rPr>
        <w:t xml:space="preserve">: </w:t>
      </w:r>
      <w:r w:rsidR="007C1E6B" w:rsidRPr="007C1E6B">
        <w:rPr>
          <w:rFonts w:ascii="Corbel" w:hAnsi="Corbel"/>
          <w:sz w:val="20"/>
          <w:szCs w:val="20"/>
        </w:rPr>
        <w:t xml:space="preserve">      </w:t>
      </w:r>
      <w:r w:rsidRPr="007C1E6B">
        <w:rPr>
          <w:rFonts w:ascii="Corbel" w:hAnsi="Corbel"/>
          <w:sz w:val="20"/>
          <w:szCs w:val="20"/>
        </w:rPr>
        <w:t xml:space="preserve"> </w:t>
      </w:r>
      <w:r w:rsidR="007C1E6B" w:rsidRPr="007C1E6B">
        <w:rPr>
          <w:rFonts w:ascii="Corbel" w:hAnsi="Corbel"/>
          <w:sz w:val="20"/>
          <w:szCs w:val="20"/>
        </w:rPr>
        <w:t>FEV18TB05</w:t>
      </w:r>
    </w:p>
    <w:p w14:paraId="0A5503F9" w14:textId="67045A06" w:rsidR="008A7EBD" w:rsidRPr="007C1E6B" w:rsidRDefault="008A7EBD" w:rsidP="002C18BA">
      <w:pPr>
        <w:spacing w:line="240" w:lineRule="auto"/>
        <w:contextualSpacing/>
        <w:rPr>
          <w:rFonts w:ascii="Corbel" w:hAnsi="Corbel"/>
          <w:sz w:val="20"/>
          <w:szCs w:val="20"/>
        </w:rPr>
      </w:pPr>
      <w:r w:rsidRPr="007C1E6B">
        <w:rPr>
          <w:rFonts w:ascii="Corbel" w:hAnsi="Corbel"/>
          <w:sz w:val="20"/>
          <w:szCs w:val="20"/>
        </w:rPr>
        <w:t>Kursnamn:</w:t>
      </w:r>
      <w:r w:rsidR="004A6725" w:rsidRPr="007C1E6B">
        <w:rPr>
          <w:rFonts w:ascii="Corbel" w:hAnsi="Corbel"/>
          <w:sz w:val="20"/>
          <w:szCs w:val="20"/>
        </w:rPr>
        <w:t xml:space="preserve">   </w:t>
      </w:r>
      <w:r w:rsidR="000B04A1" w:rsidRPr="007C1E6B">
        <w:rPr>
          <w:rFonts w:ascii="Corbel" w:hAnsi="Corbel"/>
          <w:sz w:val="20"/>
          <w:szCs w:val="20"/>
        </w:rPr>
        <w:t>Forskningsmetodik</w:t>
      </w:r>
      <w:r w:rsidR="002176C3" w:rsidRPr="007C1E6B">
        <w:rPr>
          <w:rFonts w:ascii="Corbel" w:hAnsi="Corbel"/>
          <w:sz w:val="20"/>
          <w:szCs w:val="20"/>
        </w:rPr>
        <w:t xml:space="preserve"> 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64202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0B04A1">
        <w:trPr>
          <w:trHeight w:val="838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1D0AF47C" w:rsidR="007C50AF" w:rsidRPr="00764202" w:rsidRDefault="002176C3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Forskningsprocess</w:t>
            </w:r>
            <w:r w:rsidR="000B04A1">
              <w:rPr>
                <w:rFonts w:ascii="Corbel" w:hAnsi="Corbel"/>
                <w:sz w:val="20"/>
                <w:szCs w:val="16"/>
              </w:rPr>
              <w:t>en</w:t>
            </w:r>
          </w:p>
        </w:tc>
        <w:tc>
          <w:tcPr>
            <w:tcW w:w="2409" w:type="dxa"/>
          </w:tcPr>
          <w:p w14:paraId="69F9A793" w14:textId="6E1D38D8" w:rsidR="007C50AF" w:rsidRPr="00764202" w:rsidRDefault="005F6185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Kan på en mycket grundläggande och rudimentär nivå förstå och beakta steg inom forskningsprocessen</w:t>
            </w:r>
            <w:r w:rsidR="002176C3">
              <w:rPr>
                <w:rFonts w:ascii="Corbel" w:hAnsi="Corbel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299E9E9A" w14:textId="5DB4F8F6" w:rsidR="007C50AF" w:rsidRPr="00764202" w:rsidRDefault="005F6185" w:rsidP="005F6185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Ka</w:t>
            </w:r>
            <w:r w:rsidR="000B04A1">
              <w:rPr>
                <w:rFonts w:ascii="Corbel" w:hAnsi="Corbel"/>
                <w:sz w:val="16"/>
                <w:szCs w:val="16"/>
              </w:rPr>
              <w:t xml:space="preserve">n </w:t>
            </w:r>
            <w:r w:rsidR="000F0879">
              <w:rPr>
                <w:rFonts w:ascii="Corbel" w:hAnsi="Corbel"/>
                <w:sz w:val="16"/>
                <w:szCs w:val="16"/>
              </w:rPr>
              <w:t>förstå och tillämpa</w:t>
            </w:r>
            <w:r w:rsidR="000B04A1">
              <w:rPr>
                <w:rFonts w:ascii="Corbel" w:hAnsi="Corbel"/>
                <w:sz w:val="16"/>
                <w:szCs w:val="16"/>
              </w:rPr>
              <w:t xml:space="preserve"> forskning</w:t>
            </w:r>
            <w:r>
              <w:rPr>
                <w:rFonts w:ascii="Corbel" w:hAnsi="Corbel"/>
                <w:sz w:val="16"/>
                <w:szCs w:val="16"/>
              </w:rPr>
              <w:t>sprocessens olika steg</w:t>
            </w:r>
            <w:r w:rsidR="002176C3">
              <w:rPr>
                <w:rFonts w:ascii="Corbel" w:hAnsi="Corbel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45373883" w14:textId="09084896" w:rsidR="007C50AF" w:rsidRPr="00764202" w:rsidRDefault="005F6185" w:rsidP="005F6185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Kan f</w:t>
            </w:r>
            <w:r w:rsidR="000B04A1">
              <w:rPr>
                <w:rFonts w:ascii="Corbel" w:hAnsi="Corbel"/>
                <w:sz w:val="16"/>
                <w:szCs w:val="16"/>
              </w:rPr>
              <w:t>örstå och tillämpa forsknings</w:t>
            </w:r>
            <w:r>
              <w:rPr>
                <w:rFonts w:ascii="Corbel" w:hAnsi="Corbel"/>
                <w:sz w:val="16"/>
                <w:szCs w:val="16"/>
              </w:rPr>
              <w:t xml:space="preserve">processens </w:t>
            </w:r>
            <w:r w:rsidR="000B04A1">
              <w:rPr>
                <w:rFonts w:ascii="Corbel" w:hAnsi="Corbel"/>
                <w:sz w:val="16"/>
                <w:szCs w:val="16"/>
              </w:rPr>
              <w:t>steg på ett självständigt sätt och</w:t>
            </w:r>
            <w:r>
              <w:rPr>
                <w:rFonts w:ascii="Corbel" w:hAnsi="Corbel"/>
                <w:sz w:val="16"/>
                <w:szCs w:val="16"/>
              </w:rPr>
              <w:t xml:space="preserve"> flexibelt anpassa dessa till ämnet</w:t>
            </w:r>
            <w:r w:rsidR="002176C3">
              <w:rPr>
                <w:rFonts w:ascii="Corbel" w:hAnsi="Corbel"/>
                <w:sz w:val="16"/>
                <w:szCs w:val="16"/>
              </w:rPr>
              <w:t>.</w:t>
            </w:r>
          </w:p>
        </w:tc>
      </w:tr>
      <w:tr w:rsidR="007C50AF" w:rsidRPr="00764202" w14:paraId="0B996A09" w14:textId="77777777" w:rsidTr="002176C3">
        <w:trPr>
          <w:trHeight w:val="828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1247499B" w:rsidR="007C50AF" w:rsidRPr="00764202" w:rsidRDefault="002176C3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Forskningsmetoder</w:t>
            </w:r>
          </w:p>
        </w:tc>
        <w:tc>
          <w:tcPr>
            <w:tcW w:w="2409" w:type="dxa"/>
          </w:tcPr>
          <w:p w14:paraId="2AF92A7E" w14:textId="7928A272" w:rsidR="007C50AF" w:rsidRPr="00764202" w:rsidRDefault="00AC243D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Kan förstå de vanligaste kvalitativa och kvantitativa metoderna</w:t>
            </w:r>
            <w:r w:rsidR="002176C3">
              <w:rPr>
                <w:rFonts w:ascii="Corbel" w:hAnsi="Corbel"/>
                <w:sz w:val="16"/>
                <w:szCs w:val="16"/>
              </w:rPr>
              <w:t>.</w:t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33DFDCCC" w14:textId="2ABAB86C" w:rsidR="007C50AF" w:rsidRPr="00764202" w:rsidRDefault="00AC243D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Kan förstå och tillämpa de vanligaste kvalitativa och kvantitativa metoderna</w:t>
            </w:r>
            <w:r w:rsidR="002176C3">
              <w:rPr>
                <w:rFonts w:ascii="Corbel" w:hAnsi="Corbel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2E263A5A" w14:textId="015E941E" w:rsidR="007C50AF" w:rsidRPr="00764202" w:rsidRDefault="002176C3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Kan förstå </w:t>
            </w:r>
            <w:r w:rsidR="00AC243D">
              <w:rPr>
                <w:rFonts w:ascii="Corbel" w:hAnsi="Corbel"/>
                <w:sz w:val="16"/>
                <w:szCs w:val="16"/>
              </w:rPr>
              <w:t>och på ett kritiskt och självständigt sätt tillämpa och diskriminera mellan kvalitativa och kvantitativa metoder</w:t>
            </w:r>
            <w:r>
              <w:rPr>
                <w:rFonts w:ascii="Corbel" w:hAnsi="Corbel"/>
                <w:sz w:val="16"/>
                <w:szCs w:val="16"/>
              </w:rPr>
              <w:t>.</w:t>
            </w:r>
          </w:p>
        </w:tc>
      </w:tr>
      <w:tr w:rsidR="007C50AF" w:rsidRPr="00764202" w14:paraId="03D298EE" w14:textId="77777777" w:rsidTr="000F0879">
        <w:trPr>
          <w:trHeight w:val="848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57621F38" w:rsidR="007C50AF" w:rsidRPr="00764202" w:rsidRDefault="002176C3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Informationssökning</w:t>
            </w:r>
          </w:p>
        </w:tc>
        <w:tc>
          <w:tcPr>
            <w:tcW w:w="2409" w:type="dxa"/>
          </w:tcPr>
          <w:p w14:paraId="17859EDC" w14:textId="6614FA4E" w:rsidR="007C50AF" w:rsidRPr="00764202" w:rsidRDefault="002176C3" w:rsidP="00AC243D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K</w:t>
            </w:r>
            <w:r w:rsidR="00AC243D">
              <w:rPr>
                <w:rFonts w:ascii="Corbel" w:hAnsi="Corbel"/>
                <w:sz w:val="16"/>
                <w:szCs w:val="16"/>
              </w:rPr>
              <w:t>an på en grundläggande nivå förstå vetenskaplig text och evidensbaserad kunskap</w:t>
            </w:r>
            <w:r>
              <w:rPr>
                <w:rFonts w:ascii="Corbel" w:hAnsi="Corbel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7C2C0B40" w14:textId="4AD240DE" w:rsidR="007C50AF" w:rsidRPr="00764202" w:rsidRDefault="00AC243D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Kan</w:t>
            </w:r>
            <w:r w:rsidR="00C410B9">
              <w:rPr>
                <w:rFonts w:ascii="Corbel" w:hAnsi="Corbel"/>
                <w:sz w:val="16"/>
                <w:szCs w:val="16"/>
              </w:rPr>
              <w:t xml:space="preserve"> söka fram och</w:t>
            </w:r>
            <w:r>
              <w:rPr>
                <w:rFonts w:ascii="Corbel" w:hAnsi="Corbel"/>
                <w:sz w:val="16"/>
                <w:szCs w:val="16"/>
              </w:rPr>
              <w:t xml:space="preserve"> tillgodogöra sig vetenskaplig text och använda evidensbaserad kunskap</w:t>
            </w:r>
            <w:r w:rsidR="002176C3">
              <w:rPr>
                <w:rFonts w:ascii="Corbel" w:hAnsi="Corbel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40B89255" w14:textId="22364911" w:rsidR="007C50AF" w:rsidRPr="00764202" w:rsidRDefault="00AC243D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Kan </w:t>
            </w:r>
            <w:r w:rsidR="00C410B9">
              <w:rPr>
                <w:rFonts w:ascii="Corbel" w:hAnsi="Corbel"/>
                <w:sz w:val="16"/>
                <w:szCs w:val="16"/>
              </w:rPr>
              <w:t xml:space="preserve">framgångsrikt </w:t>
            </w:r>
            <w:r w:rsidR="00971DCC">
              <w:rPr>
                <w:rFonts w:ascii="Corbel" w:hAnsi="Corbel"/>
                <w:sz w:val="16"/>
                <w:szCs w:val="16"/>
              </w:rPr>
              <w:t xml:space="preserve">tillgodogöra sig, </w:t>
            </w:r>
            <w:r>
              <w:rPr>
                <w:rFonts w:ascii="Corbel" w:hAnsi="Corbel"/>
                <w:sz w:val="16"/>
                <w:szCs w:val="16"/>
              </w:rPr>
              <w:t>kritiskt granska och tillämpa vetenskaplig text och använda evidensbaserad kunskap</w:t>
            </w:r>
            <w:r w:rsidR="002176C3">
              <w:rPr>
                <w:rFonts w:ascii="Corbel" w:hAnsi="Corbel"/>
                <w:sz w:val="16"/>
                <w:szCs w:val="16"/>
              </w:rPr>
              <w:t>.</w:t>
            </w:r>
          </w:p>
        </w:tc>
      </w:tr>
      <w:tr w:rsidR="007C50AF" w:rsidRPr="00764202" w14:paraId="2BE490F4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3FF5349" w14:textId="16B07850" w:rsidR="007C50AF" w:rsidRPr="00764202" w:rsidRDefault="002176C3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Vetenskapligt skrivande</w:t>
            </w:r>
          </w:p>
        </w:tc>
        <w:tc>
          <w:tcPr>
            <w:tcW w:w="2409" w:type="dxa"/>
          </w:tcPr>
          <w:p w14:paraId="20E6B115" w14:textId="7D7996C3" w:rsidR="007C50AF" w:rsidRPr="00764202" w:rsidRDefault="002176C3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Klarar av att planera en längre skrivuppgift och känner till principerna för vetenskapligt skrivande i stora drag. Känner till handböcker på området och </w:t>
            </w:r>
            <w:r w:rsidR="000B04A1">
              <w:rPr>
                <w:rFonts w:ascii="Corbel" w:hAnsi="Corbel"/>
                <w:sz w:val="16"/>
                <w:szCs w:val="16"/>
              </w:rPr>
              <w:t>kan använda ett referenssystem. Brister finns i den språkliga stilnivån. Kan förbereda ett opponentskap.</w:t>
            </w:r>
          </w:p>
        </w:tc>
        <w:tc>
          <w:tcPr>
            <w:tcW w:w="2410" w:type="dxa"/>
          </w:tcPr>
          <w:p w14:paraId="4D242A4D" w14:textId="4FB5FFC2" w:rsidR="007C50AF" w:rsidRPr="00764202" w:rsidRDefault="002176C3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God förmåga att planera en längre skrivuppgift och behärskar den språkliga stil som är lämplig på examensarbetesnivå.  Känner till och kan använda skrivhandböcker. God förmåga att använda ref</w:t>
            </w:r>
            <w:r w:rsidR="000B04A1">
              <w:rPr>
                <w:rFonts w:ascii="Corbel" w:hAnsi="Corbel"/>
                <w:sz w:val="16"/>
                <w:szCs w:val="16"/>
              </w:rPr>
              <w:t xml:space="preserve">erenssystem och </w:t>
            </w:r>
            <w:r w:rsidR="00062250">
              <w:rPr>
                <w:rFonts w:ascii="Corbel" w:hAnsi="Corbel"/>
                <w:sz w:val="16"/>
                <w:szCs w:val="16"/>
              </w:rPr>
              <w:t xml:space="preserve">att </w:t>
            </w:r>
            <w:r w:rsidR="000B04A1">
              <w:rPr>
                <w:rFonts w:ascii="Corbel" w:hAnsi="Corbel"/>
                <w:sz w:val="16"/>
                <w:szCs w:val="16"/>
              </w:rPr>
              <w:t>förbereda ett opponentskap</w:t>
            </w:r>
          </w:p>
        </w:tc>
        <w:tc>
          <w:tcPr>
            <w:tcW w:w="2410" w:type="dxa"/>
          </w:tcPr>
          <w:p w14:paraId="7F77A43C" w14:textId="7536915B" w:rsidR="007C50AF" w:rsidRPr="00764202" w:rsidRDefault="000F0879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Utmärkt</w:t>
            </w:r>
            <w:r w:rsidR="002176C3">
              <w:rPr>
                <w:rFonts w:ascii="Corbel" w:hAnsi="Corbel"/>
                <w:sz w:val="16"/>
                <w:szCs w:val="16"/>
              </w:rPr>
              <w:t xml:space="preserve"> förmåga att planera en längre skrivuppgift och behärskar väl den språkliga stil som är lämplig på examensarbetesnivå.</w:t>
            </w:r>
            <w:r w:rsidR="00062250">
              <w:rPr>
                <w:rFonts w:ascii="Corbel" w:hAnsi="Corbel"/>
                <w:sz w:val="16"/>
                <w:szCs w:val="16"/>
              </w:rPr>
              <w:t xml:space="preserve"> A</w:t>
            </w:r>
            <w:r w:rsidR="002176C3">
              <w:rPr>
                <w:rFonts w:ascii="Corbel" w:hAnsi="Corbel"/>
                <w:sz w:val="16"/>
                <w:szCs w:val="16"/>
              </w:rPr>
              <w:t xml:space="preserve">nvänder välvalda </w:t>
            </w:r>
            <w:r w:rsidR="00062250">
              <w:rPr>
                <w:rFonts w:ascii="Corbel" w:hAnsi="Corbel"/>
                <w:sz w:val="16"/>
                <w:szCs w:val="16"/>
              </w:rPr>
              <w:t xml:space="preserve">skrivhandböcker. </w:t>
            </w:r>
            <w:r w:rsidR="002176C3">
              <w:rPr>
                <w:rFonts w:ascii="Corbel" w:hAnsi="Corbel"/>
                <w:sz w:val="16"/>
                <w:szCs w:val="16"/>
              </w:rPr>
              <w:t>Behärskar ett eller flera referenssystem.</w:t>
            </w:r>
            <w:r w:rsidR="00062250">
              <w:rPr>
                <w:rFonts w:ascii="Corbel" w:hAnsi="Corbel"/>
                <w:sz w:val="16"/>
                <w:szCs w:val="16"/>
              </w:rPr>
              <w:t xml:space="preserve"> Kan förbereda ett opponentskap på ett förtjänstfullt sätt.</w:t>
            </w:r>
          </w:p>
        </w:tc>
      </w:tr>
    </w:tbl>
    <w:p w14:paraId="245C63A9" w14:textId="29014C3E" w:rsidR="007C50AF" w:rsidRDefault="007C50AF" w:rsidP="00F23E59">
      <w:pPr>
        <w:rPr>
          <w:rFonts w:ascii="Corbel" w:hAnsi="Corbel"/>
          <w:sz w:val="16"/>
          <w:szCs w:val="16"/>
          <w:u w:val="single"/>
        </w:rPr>
      </w:pPr>
    </w:p>
    <w:p w14:paraId="31D6B786" w14:textId="77777777" w:rsidR="008016C1" w:rsidRPr="00764202" w:rsidRDefault="008016C1" w:rsidP="00F23E59">
      <w:pPr>
        <w:rPr>
          <w:rFonts w:ascii="Corbel" w:hAnsi="Corbel"/>
          <w:sz w:val="16"/>
          <w:szCs w:val="16"/>
          <w:u w:val="single"/>
        </w:rPr>
      </w:pPr>
    </w:p>
    <w:sectPr w:rsidR="008016C1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68E71" w14:textId="77777777" w:rsidR="005F2408" w:rsidRDefault="005F2408" w:rsidP="008A7EBD">
      <w:pPr>
        <w:spacing w:after="0" w:line="240" w:lineRule="auto"/>
      </w:pPr>
      <w:r>
        <w:separator/>
      </w:r>
    </w:p>
  </w:endnote>
  <w:endnote w:type="continuationSeparator" w:id="0">
    <w:p w14:paraId="2C4C28A7" w14:textId="77777777" w:rsidR="005F2408" w:rsidRDefault="005F2408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B9AEB" w14:textId="77777777" w:rsidR="005F2408" w:rsidRDefault="005F2408" w:rsidP="008A7EBD">
      <w:pPr>
        <w:spacing w:after="0" w:line="240" w:lineRule="auto"/>
      </w:pPr>
      <w:r>
        <w:separator/>
      </w:r>
    </w:p>
  </w:footnote>
  <w:footnote w:type="continuationSeparator" w:id="0">
    <w:p w14:paraId="324D0CE0" w14:textId="77777777" w:rsidR="005F2408" w:rsidRDefault="005F2408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0325D"/>
    <w:rsid w:val="00013B4F"/>
    <w:rsid w:val="00021A87"/>
    <w:rsid w:val="00030FF6"/>
    <w:rsid w:val="000311E0"/>
    <w:rsid w:val="00036C93"/>
    <w:rsid w:val="000533FE"/>
    <w:rsid w:val="00062250"/>
    <w:rsid w:val="000A14BD"/>
    <w:rsid w:val="000B04A1"/>
    <w:rsid w:val="000F0879"/>
    <w:rsid w:val="000F6646"/>
    <w:rsid w:val="00111C03"/>
    <w:rsid w:val="001133B5"/>
    <w:rsid w:val="00140798"/>
    <w:rsid w:val="00156596"/>
    <w:rsid w:val="0017549B"/>
    <w:rsid w:val="00187162"/>
    <w:rsid w:val="0019432B"/>
    <w:rsid w:val="001A089C"/>
    <w:rsid w:val="001A73BA"/>
    <w:rsid w:val="001C5749"/>
    <w:rsid w:val="001D28E8"/>
    <w:rsid w:val="001D4D02"/>
    <w:rsid w:val="001D58A1"/>
    <w:rsid w:val="002176C3"/>
    <w:rsid w:val="002613A0"/>
    <w:rsid w:val="002614E7"/>
    <w:rsid w:val="00290B98"/>
    <w:rsid w:val="002C18BA"/>
    <w:rsid w:val="002C4D52"/>
    <w:rsid w:val="002D15B7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1B09"/>
    <w:rsid w:val="004A6725"/>
    <w:rsid w:val="004B0420"/>
    <w:rsid w:val="004C036A"/>
    <w:rsid w:val="004C759D"/>
    <w:rsid w:val="004D01C5"/>
    <w:rsid w:val="004F1453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5F2408"/>
    <w:rsid w:val="005F6185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13E5C"/>
    <w:rsid w:val="00747B68"/>
    <w:rsid w:val="00764202"/>
    <w:rsid w:val="0077062A"/>
    <w:rsid w:val="00773114"/>
    <w:rsid w:val="007755AB"/>
    <w:rsid w:val="007C1E6B"/>
    <w:rsid w:val="007C4791"/>
    <w:rsid w:val="007C50AF"/>
    <w:rsid w:val="007F3156"/>
    <w:rsid w:val="008016C1"/>
    <w:rsid w:val="00836336"/>
    <w:rsid w:val="00877C7B"/>
    <w:rsid w:val="008A1833"/>
    <w:rsid w:val="008A7EBD"/>
    <w:rsid w:val="008D1310"/>
    <w:rsid w:val="008D66F8"/>
    <w:rsid w:val="0091399C"/>
    <w:rsid w:val="00921338"/>
    <w:rsid w:val="00924320"/>
    <w:rsid w:val="0092509D"/>
    <w:rsid w:val="00935847"/>
    <w:rsid w:val="00970DF8"/>
    <w:rsid w:val="00971DCC"/>
    <w:rsid w:val="00981DDD"/>
    <w:rsid w:val="00982799"/>
    <w:rsid w:val="0099493B"/>
    <w:rsid w:val="009A4DD6"/>
    <w:rsid w:val="009B1DD9"/>
    <w:rsid w:val="009B6F66"/>
    <w:rsid w:val="00A14244"/>
    <w:rsid w:val="00A15788"/>
    <w:rsid w:val="00A21473"/>
    <w:rsid w:val="00A4093C"/>
    <w:rsid w:val="00A5695B"/>
    <w:rsid w:val="00A761FB"/>
    <w:rsid w:val="00A8040F"/>
    <w:rsid w:val="00A80799"/>
    <w:rsid w:val="00AB509D"/>
    <w:rsid w:val="00AC243D"/>
    <w:rsid w:val="00AD5D90"/>
    <w:rsid w:val="00B31953"/>
    <w:rsid w:val="00B57DB6"/>
    <w:rsid w:val="00C03F72"/>
    <w:rsid w:val="00C10FA3"/>
    <w:rsid w:val="00C2587B"/>
    <w:rsid w:val="00C410B9"/>
    <w:rsid w:val="00C51AB6"/>
    <w:rsid w:val="00C56AEC"/>
    <w:rsid w:val="00C751ED"/>
    <w:rsid w:val="00C836DE"/>
    <w:rsid w:val="00C966CE"/>
    <w:rsid w:val="00CA1156"/>
    <w:rsid w:val="00CC1CEB"/>
    <w:rsid w:val="00D01E81"/>
    <w:rsid w:val="00D031FA"/>
    <w:rsid w:val="00D30CBA"/>
    <w:rsid w:val="00D3200F"/>
    <w:rsid w:val="00D3365B"/>
    <w:rsid w:val="00D46B09"/>
    <w:rsid w:val="00D47E14"/>
    <w:rsid w:val="00D56F36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B641E"/>
    <w:rsid w:val="00EF6564"/>
    <w:rsid w:val="00F0440D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A1D9-FA9E-48FD-8A89-54BEF0E5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2018-02-01T07:07:00Z</dcterms:created>
  <dcterms:modified xsi:type="dcterms:W3CDTF">2018-03-14T18:34:00Z</dcterms:modified>
</cp:coreProperties>
</file>